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CellMar>
          <w:left w:w="70" w:type="dxa"/>
          <w:right w:w="70" w:type="dxa"/>
        </w:tblCellMar>
        <w:tblLook w:val="0000"/>
      </w:tblPr>
      <w:tblGrid>
        <w:gridCol w:w="4253"/>
        <w:gridCol w:w="4536"/>
      </w:tblGrid>
      <w:tr w:rsidR="00811287">
        <w:trPr>
          <w:cantSplit/>
        </w:trPr>
        <w:tc>
          <w:tcPr>
            <w:tcW w:w="4253" w:type="dxa"/>
          </w:tcPr>
          <w:p w:rsidR="00811287" w:rsidRDefault="00BC27CB">
            <w:pPr>
              <w:rPr>
                <w:rFonts w:ascii="Georgia" w:hAnsi="Georgia"/>
              </w:rPr>
            </w:pPr>
            <w:r w:rsidRPr="00BC27CB">
              <w:rPr>
                <w:rFonts w:ascii="Georgia" w:hAnsi="Georgi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0.5pt;height:96.45pt">
                  <v:imagedata r:id="rId7" o:title=""/>
                </v:shape>
              </w:pict>
            </w:r>
          </w:p>
          <w:p w:rsidR="00811287" w:rsidRDefault="00811287">
            <w:pPr>
              <w:rPr>
                <w:rFonts w:ascii="Georgia" w:hAnsi="Georgia"/>
              </w:rPr>
            </w:pPr>
          </w:p>
          <w:p w:rsidR="0074225B" w:rsidRPr="001F43DD" w:rsidRDefault="0074225B" w:rsidP="0074225B">
            <w:pPr>
              <w:rPr>
                <w:rFonts w:cs="Arial"/>
              </w:rPr>
            </w:pPr>
            <w:r>
              <w:rPr>
                <w:rFonts w:cs="Arial"/>
              </w:rPr>
              <w:t>A</w:t>
            </w:r>
            <w:r w:rsidRPr="001F43DD">
              <w:rPr>
                <w:rFonts w:cs="Arial"/>
              </w:rPr>
              <w:t xml:space="preserve"> – </w:t>
            </w:r>
            <w:r>
              <w:rPr>
                <w:rFonts w:cs="Arial"/>
              </w:rPr>
              <w:t>průvodní zpráva</w:t>
            </w:r>
          </w:p>
          <w:p w:rsidR="0074225B" w:rsidRPr="001F43DD" w:rsidRDefault="0074225B" w:rsidP="0074225B">
            <w:r>
              <w:rPr>
                <w:rFonts w:cs="Arial"/>
              </w:rPr>
              <w:t>B – souhrnná tech</w:t>
            </w:r>
            <w:r w:rsidRPr="001F43DD">
              <w:rPr>
                <w:rFonts w:cs="Arial"/>
              </w:rPr>
              <w:t>nická zpráva</w:t>
            </w:r>
          </w:p>
          <w:p w:rsidR="0074225B" w:rsidRDefault="009E3745" w:rsidP="0074225B">
            <w:pPr>
              <w:rPr>
                <w:rFonts w:ascii="Georgia" w:hAnsi="Georgia"/>
              </w:rPr>
            </w:pPr>
            <w:r>
              <w:rPr>
                <w:rFonts w:ascii="Georgia" w:hAnsi="Georgia"/>
              </w:rPr>
              <w:t>D – zásady</w:t>
            </w:r>
            <w:r w:rsidR="0074225B">
              <w:rPr>
                <w:rFonts w:ascii="Georgia" w:hAnsi="Georgia"/>
              </w:rPr>
              <w:t xml:space="preserve"> organizace výstavby</w:t>
            </w:r>
          </w:p>
        </w:tc>
        <w:tc>
          <w:tcPr>
            <w:tcW w:w="4536" w:type="dxa"/>
          </w:tcPr>
          <w:p w:rsidR="00811287" w:rsidRDefault="00811287">
            <w:pPr>
              <w:pStyle w:val="titulnstrana0"/>
              <w:rPr>
                <w:rFonts w:ascii="Georgia" w:hAnsi="Georgia"/>
              </w:rPr>
            </w:pPr>
            <w:r>
              <w:rPr>
                <w:rFonts w:ascii="Georgia" w:hAnsi="Georgia"/>
              </w:rPr>
              <w:t>archivní číslo: 1207060c</w:t>
            </w:r>
          </w:p>
          <w:p w:rsidR="00811287" w:rsidRDefault="00811287">
            <w:pPr>
              <w:pStyle w:val="titulnstrana00"/>
              <w:rPr>
                <w:rFonts w:ascii="Georgia" w:hAnsi="Georgia"/>
              </w:rPr>
            </w:pPr>
            <w:r>
              <w:rPr>
                <w:rFonts w:ascii="Georgia" w:hAnsi="Georgia"/>
                <w:b/>
              </w:rPr>
              <w:t>stupeň:</w:t>
            </w:r>
            <w:r>
              <w:rPr>
                <w:rFonts w:ascii="Georgia" w:hAnsi="Georgia"/>
              </w:rPr>
              <w:t xml:space="preserve"> </w:t>
            </w:r>
          </w:p>
          <w:p w:rsidR="00811287" w:rsidRDefault="00811287">
            <w:pPr>
              <w:pStyle w:val="titulnstrana00"/>
              <w:rPr>
                <w:rFonts w:ascii="Georgia" w:hAnsi="Georgia"/>
              </w:rPr>
            </w:pPr>
            <w:r>
              <w:rPr>
                <w:rFonts w:ascii="Georgia" w:hAnsi="Georgia"/>
              </w:rPr>
              <w:t>aktualizace PD</w:t>
            </w:r>
          </w:p>
          <w:p w:rsidR="00811287" w:rsidRDefault="00811287">
            <w:pPr>
              <w:pStyle w:val="titulnstrana0"/>
              <w:rPr>
                <w:rFonts w:ascii="Georgia" w:hAnsi="Georgia"/>
              </w:rPr>
            </w:pPr>
            <w:r>
              <w:rPr>
                <w:rFonts w:ascii="Georgia" w:hAnsi="Georgia"/>
              </w:rPr>
              <w:t>datum: červenec 2012</w:t>
            </w:r>
          </w:p>
          <w:p w:rsidR="00811287" w:rsidRDefault="00811287">
            <w:pPr>
              <w:pStyle w:val="titulnstrana0"/>
              <w:rPr>
                <w:rFonts w:ascii="Georgia" w:hAnsi="Georgia"/>
                <w:b/>
              </w:rPr>
            </w:pPr>
            <w:r>
              <w:rPr>
                <w:rFonts w:ascii="Georgia" w:hAnsi="Georgia"/>
                <w:b/>
              </w:rPr>
              <w:t>objednal:</w:t>
            </w:r>
          </w:p>
          <w:p w:rsidR="00811287" w:rsidRDefault="00811287">
            <w:pPr>
              <w:pStyle w:val="titulnstrana00"/>
              <w:rPr>
                <w:rFonts w:ascii="Georgia" w:hAnsi="Georgia"/>
              </w:rPr>
            </w:pPr>
            <w:r>
              <w:rPr>
                <w:rFonts w:ascii="Georgia" w:hAnsi="Georgia"/>
              </w:rPr>
              <w:t xml:space="preserve">MM Karlovy Vary, OI  </w:t>
            </w:r>
          </w:p>
          <w:p w:rsidR="00811287" w:rsidRDefault="00811287">
            <w:pPr>
              <w:pStyle w:val="titulnstrana0"/>
              <w:rPr>
                <w:rFonts w:ascii="Georgia" w:hAnsi="Georgia"/>
              </w:rPr>
            </w:pPr>
            <w:r>
              <w:rPr>
                <w:rFonts w:ascii="Georgia" w:hAnsi="Georgia"/>
                <w:b/>
              </w:rPr>
              <w:t>zpracoval:</w:t>
            </w:r>
            <w:r>
              <w:rPr>
                <w:rFonts w:ascii="Georgia" w:hAnsi="Georgia"/>
              </w:rPr>
              <w:t xml:space="preserve"> </w:t>
            </w:r>
          </w:p>
          <w:p w:rsidR="00811287" w:rsidRDefault="00811287">
            <w:pPr>
              <w:pStyle w:val="titulnstrana00"/>
              <w:rPr>
                <w:rFonts w:ascii="Georgia" w:hAnsi="Georgia"/>
              </w:rPr>
            </w:pPr>
            <w:r>
              <w:rPr>
                <w:rFonts w:ascii="Georgia" w:hAnsi="Georgia"/>
              </w:rPr>
              <w:t>ing. Martin Kohout</w:t>
            </w:r>
          </w:p>
          <w:p w:rsidR="00811287" w:rsidRDefault="00811287">
            <w:pPr>
              <w:pStyle w:val="titulnstrana00"/>
              <w:rPr>
                <w:rFonts w:ascii="Georgia" w:hAnsi="Georgia"/>
              </w:rPr>
            </w:pPr>
            <w:r>
              <w:rPr>
                <w:rFonts w:ascii="Georgia" w:hAnsi="Georgia"/>
              </w:rPr>
              <w:t>Alena Kuželová</w:t>
            </w:r>
          </w:p>
        </w:tc>
      </w:tr>
    </w:tbl>
    <w:p w:rsidR="00811287" w:rsidRDefault="00811287">
      <w:pPr>
        <w:pStyle w:val="titulnstrana1"/>
        <w:spacing w:before="1080"/>
        <w:rPr>
          <w:rFonts w:ascii="Georgia" w:hAnsi="Georgia"/>
        </w:rPr>
      </w:pPr>
      <w:r>
        <w:rPr>
          <w:rFonts w:ascii="Georgia" w:hAnsi="Georgia"/>
        </w:rPr>
        <w:t xml:space="preserve">KARLOVY VARY – stará role </w:t>
      </w:r>
    </w:p>
    <w:p w:rsidR="00811287" w:rsidRDefault="00811287">
      <w:pPr>
        <w:pStyle w:val="titulnstrana2"/>
        <w:rPr>
          <w:rFonts w:ascii="Georgia" w:hAnsi="Georgia"/>
        </w:rPr>
      </w:pPr>
      <w:r>
        <w:rPr>
          <w:rFonts w:ascii="Georgia" w:hAnsi="Georgia"/>
        </w:rPr>
        <w:t xml:space="preserve">truhlářská ULice </w:t>
      </w:r>
    </w:p>
    <w:p w:rsidR="00811287" w:rsidRDefault="00811287">
      <w:pPr>
        <w:pStyle w:val="titulnstrana3"/>
        <w:rPr>
          <w:b/>
          <w:bCs/>
        </w:rPr>
      </w:pPr>
      <w:r>
        <w:rPr>
          <w:rFonts w:ascii="Georgia" w:hAnsi="Georgia"/>
        </w:rPr>
        <w:t>Posílení parkovacích stání - vnitroblok</w:t>
      </w:r>
    </w:p>
    <w:p w:rsidR="00811287" w:rsidRDefault="00811287">
      <w:pPr>
        <w:pStyle w:val="titulnstrana3"/>
        <w:numPr>
          <w:ilvl w:val="0"/>
          <w:numId w:val="16"/>
        </w:numPr>
        <w:spacing w:before="60"/>
        <w:rPr>
          <w:sz w:val="28"/>
        </w:rPr>
      </w:pPr>
      <w:r>
        <w:rPr>
          <w:sz w:val="28"/>
        </w:rPr>
        <w:t>průvodní zpráva</w:t>
      </w:r>
    </w:p>
    <w:p w:rsidR="00811287" w:rsidRDefault="00811287">
      <w:pPr>
        <w:numPr>
          <w:ilvl w:val="0"/>
          <w:numId w:val="16"/>
        </w:numPr>
        <w:jc w:val="center"/>
      </w:pPr>
      <w:r>
        <w:rPr>
          <w:sz w:val="28"/>
        </w:rPr>
        <w:t>souhrnná technická zpráva</w:t>
      </w:r>
    </w:p>
    <w:p w:rsidR="00811287" w:rsidRDefault="00811287">
      <w:pPr>
        <w:jc w:val="center"/>
      </w:pPr>
      <w:r>
        <w:t>----------------------------------------------------------------------------------------------------------------------</w:t>
      </w:r>
    </w:p>
    <w:p w:rsidR="00811287" w:rsidRDefault="00811287">
      <w:pPr>
        <w:pStyle w:val="titulnstrana0"/>
        <w:rPr>
          <w:b/>
          <w:bCs/>
        </w:rPr>
      </w:pPr>
      <w:r>
        <w:rPr>
          <w:b/>
          <w:bCs/>
        </w:rPr>
        <w:t>obsah dokumentace stavby:</w:t>
      </w:r>
    </w:p>
    <w:p w:rsidR="00811287" w:rsidRDefault="00811287">
      <w:pPr>
        <w:pStyle w:val="titulnstrana00"/>
        <w:rPr>
          <w:b/>
          <w:bCs/>
        </w:rPr>
      </w:pPr>
      <w:r>
        <w:rPr>
          <w:b/>
          <w:bCs/>
        </w:rPr>
        <w:t>A. průvodní zpráva</w:t>
      </w:r>
    </w:p>
    <w:p w:rsidR="00811287" w:rsidRDefault="00811287">
      <w:pPr>
        <w:pStyle w:val="titulnstrana00"/>
        <w:rPr>
          <w:sz w:val="20"/>
        </w:rPr>
      </w:pPr>
      <w:r>
        <w:rPr>
          <w:sz w:val="20"/>
        </w:rPr>
        <w:t xml:space="preserve">základní identifikační údaje </w:t>
      </w:r>
    </w:p>
    <w:p w:rsidR="00811287" w:rsidRDefault="00811287">
      <w:pPr>
        <w:pStyle w:val="titulnstrana00"/>
        <w:rPr>
          <w:sz w:val="20"/>
        </w:rPr>
      </w:pPr>
      <w:r>
        <w:rPr>
          <w:sz w:val="20"/>
        </w:rPr>
        <w:t>majetkoprávní vztahy</w:t>
      </w:r>
    </w:p>
    <w:p w:rsidR="00811287" w:rsidRDefault="00811287">
      <w:pPr>
        <w:pStyle w:val="titulnstrana00"/>
        <w:rPr>
          <w:sz w:val="20"/>
        </w:rPr>
      </w:pPr>
      <w:r>
        <w:rPr>
          <w:sz w:val="20"/>
        </w:rPr>
        <w:t>průzkumy a výchozí podklady</w:t>
      </w:r>
    </w:p>
    <w:p w:rsidR="00811287" w:rsidRDefault="00811287">
      <w:pPr>
        <w:pStyle w:val="titulnstrana00"/>
        <w:rPr>
          <w:sz w:val="20"/>
        </w:rPr>
      </w:pPr>
      <w:r>
        <w:rPr>
          <w:sz w:val="20"/>
        </w:rPr>
        <w:t>seznam použitých norem, zákonů, vyhlášek a TP</w:t>
      </w:r>
    </w:p>
    <w:p w:rsidR="00811287" w:rsidRDefault="00811287">
      <w:pPr>
        <w:pStyle w:val="titulnstrana00"/>
        <w:rPr>
          <w:sz w:val="20"/>
        </w:rPr>
      </w:pPr>
      <w:r>
        <w:rPr>
          <w:sz w:val="20"/>
        </w:rPr>
        <w:t>splnění požadavků dotčených orgánů</w:t>
      </w:r>
    </w:p>
    <w:p w:rsidR="00811287" w:rsidRDefault="00811287">
      <w:pPr>
        <w:pStyle w:val="titulnstrana00"/>
        <w:rPr>
          <w:sz w:val="20"/>
        </w:rPr>
      </w:pPr>
      <w:r>
        <w:rPr>
          <w:sz w:val="20"/>
        </w:rPr>
        <w:t>splnění požadavků ÚR, RP apod.</w:t>
      </w:r>
    </w:p>
    <w:p w:rsidR="00811287" w:rsidRDefault="00811287">
      <w:pPr>
        <w:pStyle w:val="titulnstrana00"/>
        <w:rPr>
          <w:sz w:val="20"/>
        </w:rPr>
      </w:pPr>
      <w:r>
        <w:rPr>
          <w:sz w:val="20"/>
        </w:rPr>
        <w:t>související a podmiňující stavby</w:t>
      </w:r>
    </w:p>
    <w:p w:rsidR="00811287" w:rsidRDefault="00811287">
      <w:pPr>
        <w:pStyle w:val="titulnstrana00"/>
        <w:rPr>
          <w:sz w:val="20"/>
        </w:rPr>
      </w:pPr>
      <w:r>
        <w:rPr>
          <w:sz w:val="20"/>
        </w:rPr>
        <w:t xml:space="preserve">lhůty výstavby, kontrolní prohlídky a </w:t>
      </w:r>
    </w:p>
    <w:p w:rsidR="00811287" w:rsidRDefault="00811287">
      <w:pPr>
        <w:pStyle w:val="titulnstrana00"/>
        <w:rPr>
          <w:sz w:val="20"/>
        </w:rPr>
      </w:pPr>
      <w:r>
        <w:rPr>
          <w:sz w:val="20"/>
        </w:rPr>
        <w:t>statistické údaje</w:t>
      </w:r>
    </w:p>
    <w:p w:rsidR="00811287" w:rsidRDefault="00811287">
      <w:pPr>
        <w:pStyle w:val="titulnstrana00"/>
        <w:rPr>
          <w:b/>
          <w:bCs/>
        </w:rPr>
      </w:pPr>
      <w:r>
        <w:rPr>
          <w:b/>
          <w:bCs/>
        </w:rPr>
        <w:t>B. souhrnná technická zpráva</w:t>
      </w:r>
    </w:p>
    <w:p w:rsidR="00811287" w:rsidRDefault="00811287">
      <w:pPr>
        <w:pStyle w:val="titulnstrana00"/>
        <w:numPr>
          <w:ilvl w:val="0"/>
          <w:numId w:val="13"/>
        </w:numPr>
        <w:rPr>
          <w:sz w:val="20"/>
        </w:rPr>
      </w:pPr>
      <w:r>
        <w:rPr>
          <w:sz w:val="20"/>
        </w:rPr>
        <w:t>Urbanistické, architektonické a stavebně technické řešení</w:t>
      </w:r>
    </w:p>
    <w:p w:rsidR="00811287" w:rsidRDefault="00811287">
      <w:pPr>
        <w:pStyle w:val="titulnstrana00"/>
        <w:numPr>
          <w:ilvl w:val="0"/>
          <w:numId w:val="13"/>
        </w:numPr>
        <w:rPr>
          <w:sz w:val="20"/>
        </w:rPr>
      </w:pPr>
      <w:r>
        <w:rPr>
          <w:sz w:val="20"/>
        </w:rPr>
        <w:t>Požární bezpečnost</w:t>
      </w:r>
    </w:p>
    <w:p w:rsidR="00811287" w:rsidRDefault="00811287">
      <w:pPr>
        <w:pStyle w:val="titulnstrana00"/>
        <w:numPr>
          <w:ilvl w:val="0"/>
          <w:numId w:val="13"/>
        </w:numPr>
        <w:rPr>
          <w:sz w:val="20"/>
        </w:rPr>
      </w:pPr>
      <w:r>
        <w:rPr>
          <w:sz w:val="20"/>
        </w:rPr>
        <w:t>Hygiena, ochrana zdraví a životního prostředí</w:t>
      </w:r>
    </w:p>
    <w:p w:rsidR="00811287" w:rsidRDefault="00811287">
      <w:pPr>
        <w:pStyle w:val="titulnstrana00"/>
        <w:numPr>
          <w:ilvl w:val="0"/>
          <w:numId w:val="13"/>
        </w:numPr>
        <w:rPr>
          <w:sz w:val="20"/>
        </w:rPr>
      </w:pPr>
      <w:r>
        <w:rPr>
          <w:sz w:val="20"/>
        </w:rPr>
        <w:t>Bezpečnost při užívání</w:t>
      </w:r>
    </w:p>
    <w:p w:rsidR="00811287" w:rsidRDefault="00811287">
      <w:pPr>
        <w:pStyle w:val="titulnstrana00"/>
        <w:numPr>
          <w:ilvl w:val="0"/>
          <w:numId w:val="13"/>
        </w:numPr>
        <w:rPr>
          <w:sz w:val="20"/>
        </w:rPr>
      </w:pPr>
      <w:r>
        <w:rPr>
          <w:sz w:val="20"/>
        </w:rPr>
        <w:t>Ochrana proti hluku</w:t>
      </w:r>
    </w:p>
    <w:p w:rsidR="00811287" w:rsidRDefault="00811287">
      <w:pPr>
        <w:pStyle w:val="titulnstrana00"/>
        <w:numPr>
          <w:ilvl w:val="0"/>
          <w:numId w:val="13"/>
        </w:numPr>
        <w:rPr>
          <w:sz w:val="20"/>
        </w:rPr>
      </w:pPr>
      <w:r>
        <w:rPr>
          <w:sz w:val="20"/>
        </w:rPr>
        <w:t>Řešení přístupu pro ZTP</w:t>
      </w:r>
    </w:p>
    <w:p w:rsidR="00811287" w:rsidRDefault="00811287">
      <w:pPr>
        <w:pStyle w:val="titulnstrana00"/>
        <w:numPr>
          <w:ilvl w:val="0"/>
          <w:numId w:val="13"/>
        </w:numPr>
        <w:rPr>
          <w:sz w:val="20"/>
        </w:rPr>
      </w:pPr>
      <w:r>
        <w:rPr>
          <w:sz w:val="20"/>
        </w:rPr>
        <w:t>Ochrana obyvatelstva před vlivy vnějšího prostředí</w:t>
      </w:r>
    </w:p>
    <w:p w:rsidR="00811287" w:rsidRDefault="00811287">
      <w:pPr>
        <w:pStyle w:val="titulnstrana00"/>
        <w:numPr>
          <w:ilvl w:val="0"/>
          <w:numId w:val="13"/>
        </w:numPr>
        <w:rPr>
          <w:sz w:val="20"/>
        </w:rPr>
      </w:pPr>
      <w:r>
        <w:rPr>
          <w:sz w:val="20"/>
        </w:rPr>
        <w:t>Inženýrské stavby (objekty)</w:t>
      </w:r>
    </w:p>
    <w:p w:rsidR="00811287" w:rsidRPr="0074225B" w:rsidRDefault="0074225B">
      <w:pPr>
        <w:pStyle w:val="titulnstrana00"/>
        <w:ind w:left="360"/>
        <w:rPr>
          <w:b/>
          <w:sz w:val="20"/>
        </w:rPr>
      </w:pPr>
      <w:r w:rsidRPr="0074225B">
        <w:rPr>
          <w:b/>
          <w:sz w:val="20"/>
        </w:rPr>
        <w:t>(parkové úpravy)</w:t>
      </w:r>
    </w:p>
    <w:p w:rsidR="00811287" w:rsidRDefault="0074225B" w:rsidP="0074225B">
      <w:pPr>
        <w:pStyle w:val="titulnstrana00"/>
        <w:numPr>
          <w:ilvl w:val="0"/>
          <w:numId w:val="16"/>
        </w:numPr>
        <w:rPr>
          <w:b/>
          <w:bCs/>
        </w:rPr>
      </w:pPr>
      <w:r>
        <w:rPr>
          <w:b/>
          <w:bCs/>
        </w:rPr>
        <w:t>výkresová a přílohová část</w:t>
      </w:r>
    </w:p>
    <w:p w:rsidR="0074225B" w:rsidRDefault="0074225B" w:rsidP="0074225B">
      <w:pPr>
        <w:pStyle w:val="titulnstrana00"/>
        <w:ind w:left="357"/>
        <w:rPr>
          <w:b/>
          <w:bCs/>
        </w:rPr>
      </w:pPr>
      <w:r>
        <w:rPr>
          <w:sz w:val="20"/>
        </w:rPr>
        <w:t>Viz. samostatné přílohy</w:t>
      </w:r>
    </w:p>
    <w:p w:rsidR="0074225B" w:rsidRDefault="0074225B" w:rsidP="0074225B">
      <w:pPr>
        <w:pStyle w:val="titulnstrana00"/>
        <w:rPr>
          <w:b/>
          <w:bCs/>
        </w:rPr>
      </w:pPr>
      <w:r>
        <w:rPr>
          <w:b/>
          <w:bCs/>
        </w:rPr>
        <w:t>D. zásady organizace výstavby</w:t>
      </w:r>
    </w:p>
    <w:p w:rsidR="00811287" w:rsidRDefault="0074225B">
      <w:pPr>
        <w:pStyle w:val="titulnstrana00"/>
        <w:rPr>
          <w:b/>
          <w:bCs/>
        </w:rPr>
      </w:pPr>
      <w:r>
        <w:rPr>
          <w:b/>
          <w:bCs/>
        </w:rPr>
        <w:t>E</w:t>
      </w:r>
      <w:r w:rsidR="00811287">
        <w:rPr>
          <w:b/>
          <w:bCs/>
        </w:rPr>
        <w:t>. dokladová část</w:t>
      </w:r>
    </w:p>
    <w:p w:rsidR="00811287" w:rsidRDefault="00811287">
      <w:pPr>
        <w:pStyle w:val="titulnstrana00"/>
        <w:rPr>
          <w:sz w:val="20"/>
        </w:rPr>
      </w:pPr>
      <w:r>
        <w:rPr>
          <w:sz w:val="20"/>
        </w:rPr>
        <w:t>Viz. samostatná příloha</w:t>
      </w:r>
    </w:p>
    <w:p w:rsidR="00811287" w:rsidRDefault="00811287">
      <w:pPr>
        <w:pStyle w:val="Nadpis1"/>
        <w:pageBreakBefore/>
        <w:spacing w:before="600"/>
      </w:pPr>
      <w:r>
        <w:rPr>
          <w:bCs/>
        </w:rPr>
        <w:lastRenderedPageBreak/>
        <w:t>A. průvodní zpráva</w:t>
      </w:r>
    </w:p>
    <w:p w:rsidR="00811287" w:rsidRDefault="00811287">
      <w:pPr>
        <w:pStyle w:val="Nadpis4"/>
      </w:pPr>
      <w:r>
        <w:t>základní identifikační údaje</w:t>
      </w:r>
    </w:p>
    <w:p w:rsidR="00811287" w:rsidRDefault="00811287">
      <w:pPr>
        <w:pStyle w:val="Normlnodsazen"/>
        <w:tabs>
          <w:tab w:val="left" w:pos="3403"/>
        </w:tabs>
      </w:pPr>
      <w:r>
        <w:t>název stavby:</w:t>
      </w:r>
      <w:r>
        <w:tab/>
        <w:t>KARLOVY VARY – Stará Role</w:t>
      </w:r>
    </w:p>
    <w:p w:rsidR="00811287" w:rsidRDefault="00811287">
      <w:pPr>
        <w:pStyle w:val="Normlnodsazen"/>
        <w:tabs>
          <w:tab w:val="left" w:pos="3403"/>
        </w:tabs>
        <w:spacing w:before="0"/>
      </w:pPr>
      <w:r>
        <w:tab/>
        <w:t>Truhlářská ulice</w:t>
      </w:r>
    </w:p>
    <w:p w:rsidR="00811287" w:rsidRDefault="00811287">
      <w:pPr>
        <w:pStyle w:val="Normlnodsazen"/>
        <w:tabs>
          <w:tab w:val="left" w:pos="3403"/>
        </w:tabs>
        <w:spacing w:before="0"/>
      </w:pPr>
      <w:r>
        <w:tab/>
      </w:r>
      <w:r>
        <w:rPr>
          <w:rFonts w:ascii="Georgia" w:hAnsi="Georgia"/>
        </w:rPr>
        <w:t>Posílení parkovacích stání - vnitroblok</w:t>
      </w:r>
    </w:p>
    <w:p w:rsidR="00811287" w:rsidRDefault="00811287">
      <w:pPr>
        <w:pStyle w:val="Zkladntext3"/>
        <w:tabs>
          <w:tab w:val="left" w:pos="3403"/>
        </w:tabs>
        <w:spacing w:after="0"/>
        <w:ind w:left="3544" w:hanging="3260"/>
      </w:pPr>
      <w:r>
        <w:tab/>
        <w:t>Karlovarský kraj</w:t>
      </w:r>
    </w:p>
    <w:p w:rsidR="00811287" w:rsidRDefault="00811287">
      <w:pPr>
        <w:pStyle w:val="Normlnodsazen"/>
        <w:tabs>
          <w:tab w:val="left" w:pos="3403"/>
        </w:tabs>
      </w:pPr>
      <w:r>
        <w:t>investor:</w:t>
      </w:r>
      <w:r>
        <w:tab/>
        <w:t>Město Karlovy Vary, zastoupené</w:t>
      </w:r>
    </w:p>
    <w:p w:rsidR="00811287" w:rsidRDefault="00811287">
      <w:pPr>
        <w:ind w:left="2832" w:firstLine="708"/>
      </w:pPr>
      <w:r>
        <w:t>MM KV, odbor technický</w:t>
      </w:r>
    </w:p>
    <w:p w:rsidR="00811287" w:rsidRDefault="00811287">
      <w:pPr>
        <w:pStyle w:val="Zkladntext31"/>
        <w:tabs>
          <w:tab w:val="left" w:pos="3544"/>
        </w:tabs>
        <w:spacing w:after="0"/>
        <w:ind w:left="284"/>
      </w:pPr>
      <w:r>
        <w:tab/>
        <w:t xml:space="preserve">Moskevská 21 </w:t>
      </w:r>
    </w:p>
    <w:p w:rsidR="00811287" w:rsidRDefault="00811287">
      <w:pPr>
        <w:pStyle w:val="Zkladntext31"/>
        <w:tabs>
          <w:tab w:val="left" w:pos="3544"/>
          <w:tab w:val="right" w:pos="8789"/>
        </w:tabs>
        <w:spacing w:after="0"/>
        <w:ind w:left="284"/>
      </w:pPr>
      <w:r>
        <w:tab/>
        <w:t>360 20 Karlovy Vary</w:t>
      </w:r>
      <w:r>
        <w:tab/>
        <w:t>IČ: 00254657</w:t>
      </w:r>
    </w:p>
    <w:p w:rsidR="00811287" w:rsidRDefault="00811287">
      <w:pPr>
        <w:pStyle w:val="Zkladntext31"/>
        <w:tabs>
          <w:tab w:val="left" w:pos="3544"/>
        </w:tabs>
        <w:spacing w:after="0"/>
        <w:ind w:left="284"/>
      </w:pPr>
      <w:r>
        <w:tab/>
        <w:t>kontaktní osoba - ing. Petr Ullmann</w:t>
      </w:r>
    </w:p>
    <w:p w:rsidR="00811287" w:rsidRDefault="00811287">
      <w:pPr>
        <w:tabs>
          <w:tab w:val="left" w:pos="3544"/>
        </w:tabs>
      </w:pPr>
      <w:r>
        <w:tab/>
        <w:t>telefonní spojení - 353118262</w:t>
      </w:r>
    </w:p>
    <w:p w:rsidR="00811287" w:rsidRDefault="00811287">
      <w:pPr>
        <w:pStyle w:val="Normlnodsazen"/>
        <w:tabs>
          <w:tab w:val="left" w:pos="3403"/>
        </w:tabs>
        <w:spacing w:before="120"/>
      </w:pPr>
      <w:r>
        <w:t>hlavní projektant:</w:t>
      </w:r>
      <w:r>
        <w:tab/>
        <w:t>Ing. Martin Kohout - IMK projekt Ostrov</w:t>
      </w:r>
    </w:p>
    <w:p w:rsidR="00811287" w:rsidRDefault="00811287">
      <w:pPr>
        <w:tabs>
          <w:tab w:val="left" w:pos="3403"/>
          <w:tab w:val="left" w:pos="3544"/>
          <w:tab w:val="left" w:pos="7088"/>
        </w:tabs>
      </w:pPr>
      <w:r>
        <w:tab/>
        <w:t>Klínovecká 998; 363 01 Ostrov</w:t>
      </w:r>
      <w:r>
        <w:tab/>
        <w:t>IČ: 11612860</w:t>
      </w:r>
    </w:p>
    <w:p w:rsidR="00811287" w:rsidRDefault="00811287">
      <w:pPr>
        <w:pStyle w:val="Zkladntext3"/>
        <w:tabs>
          <w:tab w:val="left" w:pos="3403"/>
        </w:tabs>
      </w:pPr>
      <w:r>
        <w:tab/>
        <w:t>telefonní spojení – 353821435</w:t>
      </w:r>
    </w:p>
    <w:p w:rsidR="00811287" w:rsidRPr="0074225B" w:rsidRDefault="00811287">
      <w:pPr>
        <w:pStyle w:val="Normlnodsazen"/>
        <w:tabs>
          <w:tab w:val="left" w:pos="3403"/>
        </w:tabs>
        <w:rPr>
          <w:vanish/>
        </w:rPr>
      </w:pPr>
      <w:r w:rsidRPr="0074225B">
        <w:rPr>
          <w:vanish/>
        </w:rPr>
        <w:t>dílčí projektanti:</w:t>
      </w:r>
      <w:r w:rsidRPr="0074225B">
        <w:rPr>
          <w:vanish/>
        </w:rPr>
        <w:tab/>
        <w:t>ALFA projekt s.r.o.</w:t>
      </w:r>
      <w:r w:rsidRPr="0074225B">
        <w:rPr>
          <w:vanish/>
        </w:rPr>
        <w:tab/>
      </w:r>
      <w:r w:rsidRPr="0074225B">
        <w:rPr>
          <w:vanish/>
        </w:rPr>
        <w:tab/>
      </w:r>
      <w:r w:rsidRPr="0074225B">
        <w:rPr>
          <w:vanish/>
        </w:rPr>
        <w:tab/>
        <w:t>IČ: 4535 5711</w:t>
      </w:r>
    </w:p>
    <w:p w:rsidR="00811287" w:rsidRPr="0074225B" w:rsidRDefault="00811287">
      <w:pPr>
        <w:pStyle w:val="Zkladntext3"/>
        <w:tabs>
          <w:tab w:val="left" w:pos="3403"/>
        </w:tabs>
        <w:rPr>
          <w:vanish/>
        </w:rPr>
      </w:pPr>
      <w:r w:rsidRPr="0074225B">
        <w:rPr>
          <w:vanish/>
        </w:rPr>
        <w:tab/>
        <w:t>K panelárně; 362 32 Otovice</w:t>
      </w:r>
      <w:r w:rsidRPr="0074225B">
        <w:rPr>
          <w:vanish/>
        </w:rPr>
        <w:tab/>
      </w:r>
    </w:p>
    <w:p w:rsidR="00811287" w:rsidRPr="0074225B" w:rsidRDefault="00811287">
      <w:pPr>
        <w:pStyle w:val="Zkladntext3"/>
        <w:tabs>
          <w:tab w:val="left" w:pos="3403"/>
        </w:tabs>
        <w:spacing w:after="0"/>
        <w:ind w:left="284"/>
        <w:rPr>
          <w:vanish/>
        </w:rPr>
      </w:pPr>
      <w:r w:rsidRPr="0074225B">
        <w:rPr>
          <w:vanish/>
        </w:rPr>
        <w:tab/>
        <w:t>Jan Rom – projekty elektro</w:t>
      </w:r>
      <w:r w:rsidRPr="0074225B">
        <w:rPr>
          <w:vanish/>
        </w:rPr>
        <w:tab/>
        <w:t>IČ: 1282 4950</w:t>
      </w:r>
    </w:p>
    <w:p w:rsidR="00811287" w:rsidRPr="0074225B" w:rsidRDefault="00811287">
      <w:pPr>
        <w:pStyle w:val="Zkladntext3"/>
        <w:tabs>
          <w:tab w:val="left" w:pos="3403"/>
        </w:tabs>
        <w:spacing w:after="0"/>
        <w:ind w:left="1416"/>
        <w:rPr>
          <w:vanish/>
        </w:rPr>
      </w:pPr>
      <w:r w:rsidRPr="0074225B">
        <w:rPr>
          <w:vanish/>
        </w:rPr>
        <w:tab/>
        <w:t>363 01  Ostrov, Komenského 934/24;</w:t>
      </w:r>
    </w:p>
    <w:p w:rsidR="00811287" w:rsidRPr="0074225B" w:rsidRDefault="00811287">
      <w:pPr>
        <w:pStyle w:val="Zkladntext3"/>
        <w:tabs>
          <w:tab w:val="left" w:pos="3403"/>
        </w:tabs>
        <w:spacing w:after="0"/>
        <w:ind w:left="1416"/>
        <w:rPr>
          <w:vanish/>
        </w:rPr>
      </w:pPr>
      <w:r w:rsidRPr="0074225B">
        <w:rPr>
          <w:vanish/>
        </w:rPr>
        <w:tab/>
        <w:t>tel. 353842283</w:t>
      </w:r>
    </w:p>
    <w:p w:rsidR="00811287" w:rsidRDefault="00811287">
      <w:pPr>
        <w:pStyle w:val="Normlnodsazen"/>
        <w:tabs>
          <w:tab w:val="left" w:pos="3403"/>
        </w:tabs>
      </w:pPr>
      <w:r>
        <w:t>charakter stavby:</w:t>
      </w:r>
      <w:r>
        <w:tab/>
        <w:t>novostavba parkoviště</w:t>
      </w:r>
    </w:p>
    <w:p w:rsidR="00811287" w:rsidRDefault="00811287">
      <w:pPr>
        <w:pStyle w:val="Normlnodsazen"/>
        <w:tabs>
          <w:tab w:val="left" w:pos="3403"/>
        </w:tabs>
      </w:pPr>
      <w:r>
        <w:t>stupeň dokumentace:</w:t>
      </w:r>
      <w:r>
        <w:tab/>
        <w:t>ke stavebnímu povolení</w:t>
      </w:r>
    </w:p>
    <w:p w:rsidR="00811287" w:rsidRDefault="00811287">
      <w:pPr>
        <w:pStyle w:val="Normlnodsazen"/>
        <w:tabs>
          <w:tab w:val="left" w:pos="3403"/>
        </w:tabs>
      </w:pPr>
      <w:r>
        <w:t>vyšší dodavatel:</w:t>
      </w:r>
      <w:r>
        <w:tab/>
        <w:t>vzejde z výběrového řízení</w:t>
      </w:r>
    </w:p>
    <w:p w:rsidR="00811287" w:rsidRDefault="00811287">
      <w:pPr>
        <w:rPr>
          <w:sz w:val="20"/>
        </w:rPr>
      </w:pPr>
    </w:p>
    <w:p w:rsidR="00811287" w:rsidRDefault="00811287">
      <w:pPr>
        <w:pStyle w:val="Nadpis4"/>
      </w:pPr>
      <w:r>
        <w:t>majetkoprávní vztahy</w:t>
      </w:r>
    </w:p>
    <w:p w:rsidR="00811287" w:rsidRDefault="00811287">
      <w:pPr>
        <w:pStyle w:val="Normlnodsazen"/>
      </w:pPr>
      <w:r>
        <w:t xml:space="preserve">Novostavba ploch pro parkování a úprava dopravního napojení na sousední Truhlářskou ulici a obnova a doplnění veřejného osvětlení (neřeší tato stavba) proběhne na veřejných plochách v majetku města (viz. snímek a výpis z KN) – p.p.č. 492/23, 492/29, 492/30 (ostatní plocha). </w:t>
      </w:r>
    </w:p>
    <w:p w:rsidR="00811287" w:rsidRDefault="00811287">
      <w:pPr>
        <w:pStyle w:val="Normlnodsazen"/>
      </w:pPr>
      <w:r>
        <w:t>Sousedních zelených ploch a domů se stavební práce přímo nedotýkají.</w:t>
      </w:r>
    </w:p>
    <w:p w:rsidR="00811287" w:rsidRDefault="00811287"/>
    <w:p w:rsidR="00811287" w:rsidRDefault="00811287">
      <w:pPr>
        <w:pStyle w:val="Nadpis4"/>
      </w:pPr>
      <w:r>
        <w:t>Průzkumy a výchozí podklady</w:t>
      </w:r>
    </w:p>
    <w:p w:rsidR="00811287" w:rsidRDefault="00811287">
      <w:pPr>
        <w:pStyle w:val="Seznamsodrkami2"/>
        <w:numPr>
          <w:ilvl w:val="0"/>
          <w:numId w:val="2"/>
        </w:numPr>
      </w:pPr>
      <w:r>
        <w:t>IZ s vymezením technického rozsahu prací</w:t>
      </w:r>
    </w:p>
    <w:p w:rsidR="00811287" w:rsidRDefault="00811287">
      <w:pPr>
        <w:pStyle w:val="Seznamsodrkami2"/>
        <w:numPr>
          <w:ilvl w:val="0"/>
          <w:numId w:val="2"/>
        </w:numPr>
      </w:pPr>
      <w:r>
        <w:t>Původní zpracovaná, ale neschválená varianta PD v úrovni DSP</w:t>
      </w:r>
    </w:p>
    <w:p w:rsidR="00811287" w:rsidRDefault="00811287">
      <w:pPr>
        <w:pStyle w:val="Seznamsodrkami2"/>
        <w:numPr>
          <w:ilvl w:val="0"/>
          <w:numId w:val="2"/>
        </w:numPr>
      </w:pPr>
      <w:r>
        <w:t>zaměření daného prostoru (M 1 : 250)</w:t>
      </w:r>
    </w:p>
    <w:p w:rsidR="00811287" w:rsidRDefault="00811287">
      <w:pPr>
        <w:pStyle w:val="Seznamsodrkami2"/>
        <w:numPr>
          <w:ilvl w:val="0"/>
          <w:numId w:val="2"/>
        </w:numPr>
      </w:pPr>
      <w:r>
        <w:t>základní katastrální údaje</w:t>
      </w:r>
    </w:p>
    <w:p w:rsidR="00811287" w:rsidRDefault="00811287">
      <w:pPr>
        <w:pStyle w:val="Seznamsodrkami2"/>
        <w:numPr>
          <w:ilvl w:val="0"/>
          <w:numId w:val="2"/>
        </w:numPr>
      </w:pPr>
      <w:r>
        <w:t>informace o průběhu inženýrských sítí</w:t>
      </w:r>
    </w:p>
    <w:p w:rsidR="00811287" w:rsidRDefault="00811287">
      <w:pPr>
        <w:pStyle w:val="Nadpis4"/>
      </w:pPr>
      <w:r>
        <w:t>Seznam použitých norem:</w:t>
      </w:r>
    </w:p>
    <w:p w:rsidR="00811287" w:rsidRDefault="00811287">
      <w:r>
        <w:t>ČSN 736100</w:t>
      </w:r>
      <w:r>
        <w:tab/>
      </w:r>
      <w:r>
        <w:tab/>
        <w:t>Názvosloví silničních komunikací</w:t>
      </w:r>
    </w:p>
    <w:p w:rsidR="00811287" w:rsidRDefault="00811287">
      <w:r>
        <w:t>ČSN 73 6101</w:t>
      </w:r>
      <w:r>
        <w:tab/>
      </w:r>
      <w:r>
        <w:tab/>
        <w:t>Projektování silnic a dálnic</w:t>
      </w:r>
    </w:p>
    <w:p w:rsidR="00811287" w:rsidRDefault="00811287">
      <w:r>
        <w:lastRenderedPageBreak/>
        <w:t>ČSN 73 6102</w:t>
      </w:r>
      <w:r>
        <w:tab/>
      </w:r>
      <w:r>
        <w:tab/>
        <w:t>Projektování křižovatek na silnicích</w:t>
      </w:r>
    </w:p>
    <w:p w:rsidR="00811287" w:rsidRDefault="00811287">
      <w:r>
        <w:t>ČSN 73 6110</w:t>
      </w:r>
      <w:r>
        <w:tab/>
      </w:r>
      <w:r>
        <w:tab/>
        <w:t>Projektování místních komunikací</w:t>
      </w:r>
    </w:p>
    <w:p w:rsidR="00811287" w:rsidRDefault="00811287">
      <w:r>
        <w:t>ČSN 73 3050</w:t>
      </w:r>
      <w:r>
        <w:tab/>
      </w:r>
      <w:r>
        <w:tab/>
        <w:t>Zemní práce</w:t>
      </w:r>
    </w:p>
    <w:p w:rsidR="00811287" w:rsidRDefault="00811287">
      <w:r>
        <w:t>ČSN 73 6056</w:t>
      </w:r>
      <w:r>
        <w:tab/>
      </w:r>
      <w:r>
        <w:tab/>
        <w:t>Odstavné a parkovací plochy</w:t>
      </w:r>
    </w:p>
    <w:p w:rsidR="00811287" w:rsidRDefault="00811287">
      <w:r>
        <w:t>ČSN 30 0026</w:t>
      </w:r>
      <w:r>
        <w:tab/>
      </w:r>
      <w:r>
        <w:tab/>
        <w:t>Rozměry vozidel</w:t>
      </w:r>
    </w:p>
    <w:p w:rsidR="00811287" w:rsidRDefault="00811287">
      <w:r>
        <w:t>ČSN 01 8020</w:t>
      </w:r>
      <w:r>
        <w:tab/>
      </w:r>
      <w:r>
        <w:tab/>
        <w:t>Dopravní značky na pozemních komunikacích</w:t>
      </w:r>
    </w:p>
    <w:p w:rsidR="00811287" w:rsidRDefault="00811287">
      <w:r>
        <w:t>ČSN 01 6005</w:t>
      </w:r>
      <w:r>
        <w:tab/>
      </w:r>
      <w:r>
        <w:tab/>
        <w:t>Prostorové uspořádání sítí technického vybavení</w:t>
      </w:r>
    </w:p>
    <w:p w:rsidR="00811287" w:rsidRDefault="00811287">
      <w:r>
        <w:t xml:space="preserve">ČSN EN 12899 </w:t>
      </w:r>
      <w:r>
        <w:tab/>
      </w:r>
      <w:r>
        <w:tab/>
        <w:t>1 Stálé svislé dopravní značení. Část 1: Stálé dopravní značky,</w:t>
      </w:r>
    </w:p>
    <w:p w:rsidR="00811287" w:rsidRDefault="00811287">
      <w:pPr>
        <w:tabs>
          <w:tab w:val="left" w:pos="2160"/>
        </w:tabs>
      </w:pPr>
      <w:r>
        <w:t xml:space="preserve">ČSN EN 1436 </w:t>
      </w:r>
      <w:r>
        <w:tab/>
      </w:r>
      <w:r>
        <w:tab/>
        <w:t>Vodorovné dopravní značení - požadavky na dopravní značení,</w:t>
      </w:r>
    </w:p>
    <w:p w:rsidR="00811287" w:rsidRDefault="00811287"/>
    <w:p w:rsidR="00811287" w:rsidRDefault="00811287">
      <w:pPr>
        <w:pStyle w:val="Nadpis4"/>
      </w:pPr>
      <w:r>
        <w:t>Platné zákony a jejich prováděcí vyhlášky, zejména:</w:t>
      </w:r>
    </w:p>
    <w:p w:rsidR="00811287" w:rsidRDefault="00811287">
      <w:pPr>
        <w:pStyle w:val="Zkladntextodsazen"/>
        <w:ind w:left="3060" w:hanging="3060"/>
      </w:pPr>
      <w:r>
        <w:t>zákon č. 13/1997 Sb.</w:t>
      </w:r>
      <w:r>
        <w:tab/>
        <w:t>o pozemních komunikacích, ve znění pozdějších předpisů,</w:t>
      </w:r>
    </w:p>
    <w:p w:rsidR="00811287" w:rsidRDefault="00811287">
      <w:pPr>
        <w:ind w:left="3060" w:hanging="3060"/>
      </w:pPr>
      <w:r>
        <w:t>Vyhláška  č.104/1997Sb.</w:t>
      </w:r>
      <w:r>
        <w:tab/>
        <w:t>kterou se provádí zákon o pozemních komunikacích</w:t>
      </w:r>
    </w:p>
    <w:p w:rsidR="00811287" w:rsidRDefault="00811287">
      <w:pPr>
        <w:pStyle w:val="Zkladntextodsazen"/>
        <w:ind w:left="3060" w:hanging="3060"/>
      </w:pPr>
      <w:r>
        <w:t>Vyhláška č.39</w:t>
      </w:r>
      <w:r w:rsidR="0074225B">
        <w:t>8</w:t>
      </w:r>
      <w:r>
        <w:t>/200</w:t>
      </w:r>
      <w:r w:rsidR="0074225B">
        <w:t>9</w:t>
      </w:r>
      <w:r>
        <w:t>Sb.</w:t>
      </w:r>
      <w:r w:rsidR="0074225B">
        <w:t xml:space="preserve"> </w:t>
      </w:r>
      <w:r w:rsidR="0074225B">
        <w:rPr>
          <w:rFonts w:eastAsia="Georgia" w:cs="Georgia"/>
        </w:rPr>
        <w:tab/>
        <w:t>o</w:t>
      </w:r>
      <w:r w:rsidR="0074225B" w:rsidRPr="001F43DD">
        <w:rPr>
          <w:rFonts w:eastAsia="Georgia" w:cs="Georgia"/>
        </w:rPr>
        <w:t xml:space="preserve"> technických požadavcích zabezpečujících bezbariérové užívání staveb</w:t>
      </w:r>
    </w:p>
    <w:p w:rsidR="00811287" w:rsidRDefault="00811287">
      <w:pPr>
        <w:pStyle w:val="Zkladntextodsazen"/>
        <w:ind w:left="3060" w:hanging="3060"/>
      </w:pPr>
      <w:r>
        <w:t xml:space="preserve">zákon č. 361/2000 Sb. </w:t>
      </w:r>
      <w:r w:rsidR="0074225B">
        <w:tab/>
      </w:r>
      <w:r>
        <w:t>o provozu na pozemních komunikacích a o změnách některých zákonů, ve znění pozdějších předpisů,</w:t>
      </w:r>
    </w:p>
    <w:p w:rsidR="00811287" w:rsidRDefault="00811287">
      <w:pPr>
        <w:pStyle w:val="Zkladntextodsazen"/>
        <w:ind w:left="3060" w:hanging="3060"/>
      </w:pPr>
      <w:r>
        <w:t>vyhláška č. 30/2001Sb.</w:t>
      </w:r>
      <w:r>
        <w:tab/>
        <w:t>kterou se provádějí pravidla provozu na pozemních komunikacích a úprava a řízení provozu na pozemních komunikacích, ve znění pozdějších předpisů,</w:t>
      </w:r>
    </w:p>
    <w:p w:rsidR="00811287" w:rsidRDefault="00811287">
      <w:pPr>
        <w:pStyle w:val="Zkladntextodsazen"/>
        <w:ind w:left="3060" w:hanging="3060"/>
      </w:pPr>
      <w:r>
        <w:t>zákon č. 56/2001Sb.</w:t>
      </w:r>
      <w:r>
        <w:tab/>
        <w:t xml:space="preserve">o podmínkách provozu vozidel na pozemních komunikacích, a o změně zákona </w:t>
      </w:r>
    </w:p>
    <w:p w:rsidR="00811287" w:rsidRDefault="00811287">
      <w:pPr>
        <w:pStyle w:val="Zkladntextodsazen"/>
        <w:ind w:left="3060" w:hanging="3060"/>
      </w:pPr>
      <w:r>
        <w:t>vyhláška č. 341/2002Sb. o schvalování technické způsobilosti a technických podmínkách provozu vozidel na pozemních komunikacích, ve znění pozdějších předpisů</w:t>
      </w:r>
    </w:p>
    <w:p w:rsidR="00811287" w:rsidRDefault="00811287">
      <w:pPr>
        <w:pStyle w:val="Nadpis4"/>
      </w:pPr>
      <w:r>
        <w:t>Technické průvodce:</w:t>
      </w:r>
    </w:p>
    <w:p w:rsidR="00811287" w:rsidRDefault="00811287">
      <w:pPr>
        <w:pStyle w:val="Zkladntextodsazen"/>
        <w:spacing w:after="0"/>
        <w:ind w:left="1621" w:hanging="1440"/>
      </w:pPr>
      <w:r>
        <w:t xml:space="preserve">TP 65 </w:t>
      </w:r>
      <w:r>
        <w:tab/>
        <w:t>Zásady pro dopravní značení na pozemních komunikacích,</w:t>
      </w:r>
    </w:p>
    <w:p w:rsidR="00811287" w:rsidRDefault="00811287">
      <w:pPr>
        <w:pStyle w:val="Zkladntextodsazen"/>
        <w:spacing w:after="0"/>
        <w:ind w:left="1621" w:hanging="1440"/>
      </w:pPr>
      <w:r>
        <w:t xml:space="preserve">TP 66 </w:t>
      </w:r>
      <w:r>
        <w:tab/>
        <w:t>Zásady pro označování pracovních míst na pozemních komunikacích,</w:t>
      </w:r>
    </w:p>
    <w:p w:rsidR="00811287" w:rsidRDefault="00811287">
      <w:pPr>
        <w:pStyle w:val="Zkladntextodsazen"/>
        <w:spacing w:after="0"/>
        <w:ind w:left="1621" w:hanging="1440"/>
      </w:pPr>
      <w:r>
        <w:t xml:space="preserve">TP 85 </w:t>
      </w:r>
      <w:r>
        <w:tab/>
        <w:t>Zpomalovací prahy,</w:t>
      </w:r>
    </w:p>
    <w:p w:rsidR="00811287" w:rsidRDefault="00811287">
      <w:pPr>
        <w:pStyle w:val="Zkladntextodsazen"/>
        <w:spacing w:after="0"/>
        <w:ind w:left="1621" w:hanging="1440"/>
      </w:pPr>
      <w:r>
        <w:t xml:space="preserve">TP 103 </w:t>
      </w:r>
      <w:r>
        <w:tab/>
        <w:t>Navrhování obytných zón</w:t>
      </w:r>
    </w:p>
    <w:p w:rsidR="00811287" w:rsidRDefault="00811287">
      <w:pPr>
        <w:pStyle w:val="Zkladntextodsazen"/>
        <w:spacing w:after="0"/>
        <w:ind w:left="1621" w:hanging="1440"/>
      </w:pPr>
      <w:r>
        <w:t>TP 100</w:t>
      </w:r>
      <w:r>
        <w:tab/>
        <w:t>Zásady pro orientační dopravní značení na pozemních komunikacích</w:t>
      </w:r>
    </w:p>
    <w:p w:rsidR="00811287" w:rsidRDefault="00811287">
      <w:pPr>
        <w:pStyle w:val="Zkladntextodsazen"/>
        <w:spacing w:after="0"/>
        <w:ind w:left="1621" w:hanging="1440"/>
      </w:pPr>
      <w:r>
        <w:t>TP 117</w:t>
      </w:r>
      <w:r>
        <w:tab/>
        <w:t xml:space="preserve"> Zásady pro informační orientační značeni na pozemních komunikacích</w:t>
      </w:r>
    </w:p>
    <w:p w:rsidR="00811287" w:rsidRDefault="00811287">
      <w:pPr>
        <w:pStyle w:val="Zkladntextodsazen"/>
        <w:spacing w:after="0"/>
        <w:ind w:left="1621" w:hanging="1440"/>
      </w:pPr>
      <w:r>
        <w:t xml:space="preserve">TP 133 </w:t>
      </w:r>
      <w:r>
        <w:tab/>
        <w:t>Zásady pro vodorovné dopravní značeni na pozemních komunikacích</w:t>
      </w:r>
    </w:p>
    <w:p w:rsidR="00811287" w:rsidRDefault="00811287"/>
    <w:p w:rsidR="00811287" w:rsidRDefault="00811287">
      <w:pPr>
        <w:pStyle w:val="Nadpis4"/>
      </w:pPr>
      <w:r>
        <w:lastRenderedPageBreak/>
        <w:t>splnění požadavků dotčených orgánů</w:t>
      </w:r>
    </w:p>
    <w:p w:rsidR="00811287" w:rsidRDefault="00811287">
      <w:pPr>
        <w:pStyle w:val="Normlnodsazen"/>
      </w:pPr>
      <w:r>
        <w:t>Veškeré připomínky správců sítí a orgánů státní správy byly v průběhu dokončovacích prací zapracovány do projektové dokumentace.</w:t>
      </w:r>
    </w:p>
    <w:p w:rsidR="00811287" w:rsidRDefault="00811287">
      <w:pPr>
        <w:pStyle w:val="Nadpis4"/>
      </w:pPr>
      <w:r>
        <w:t>související a podmiňující stavby</w:t>
      </w:r>
    </w:p>
    <w:p w:rsidR="00811287" w:rsidRDefault="00811287">
      <w:pPr>
        <w:pStyle w:val="Normlnodsazen"/>
      </w:pPr>
      <w:r>
        <w:t>Stavba nemá jiné přímé podmiňující investice. V době své realizace by měla být již provedena stavební úprava sousední křižovatky</w:t>
      </w:r>
      <w:r w:rsidR="0074225B">
        <w:t>, což se stalo</w:t>
      </w:r>
      <w:r>
        <w:t xml:space="preserve">. </w:t>
      </w:r>
    </w:p>
    <w:p w:rsidR="00811287" w:rsidRDefault="00811287">
      <w:pPr>
        <w:pStyle w:val="Nadpis4"/>
      </w:pPr>
      <w:r>
        <w:t>lhůty výstavby a kontrolní prohlídky</w:t>
      </w:r>
    </w:p>
    <w:p w:rsidR="00811287" w:rsidRDefault="00811287">
      <w:pPr>
        <w:pStyle w:val="Normlnodsazen"/>
        <w:tabs>
          <w:tab w:val="left" w:pos="3403"/>
        </w:tabs>
      </w:pPr>
      <w:r>
        <w:t>lhůta výstavby:</w:t>
      </w:r>
      <w:r>
        <w:tab/>
        <w:t>maximálně 1</w:t>
      </w:r>
      <w:r w:rsidR="0074225B">
        <w:t>2</w:t>
      </w:r>
      <w:r>
        <w:t xml:space="preserve"> týdnů</w:t>
      </w:r>
    </w:p>
    <w:p w:rsidR="00811287" w:rsidRDefault="00811287">
      <w:pPr>
        <w:pStyle w:val="Normlnodsazen"/>
        <w:tabs>
          <w:tab w:val="left" w:pos="3403"/>
        </w:tabs>
        <w:ind w:right="-2"/>
      </w:pPr>
      <w:r>
        <w:t>zahájení stavby:</w:t>
      </w:r>
      <w:r>
        <w:tab/>
        <w:t>není určeno (</w:t>
      </w:r>
      <w:r w:rsidR="0074225B">
        <w:t>léto</w:t>
      </w:r>
      <w:r>
        <w:t xml:space="preserve"> 20</w:t>
      </w:r>
      <w:r w:rsidR="0074225B">
        <w:t>12</w:t>
      </w:r>
      <w:r>
        <w:t xml:space="preserve">) </w:t>
      </w:r>
    </w:p>
    <w:p w:rsidR="00811287" w:rsidRDefault="00811287">
      <w:pPr>
        <w:pStyle w:val="Normlnodsazen"/>
        <w:tabs>
          <w:tab w:val="left" w:pos="3403"/>
        </w:tabs>
      </w:pPr>
      <w:r>
        <w:t>dokončení stavby:</w:t>
      </w:r>
      <w:r>
        <w:tab/>
        <w:t>nejpozději podzim v roce 201</w:t>
      </w:r>
      <w:r w:rsidR="0074225B">
        <w:t>3</w:t>
      </w:r>
    </w:p>
    <w:p w:rsidR="00811287" w:rsidRDefault="00811287">
      <w:pPr>
        <w:pStyle w:val="Normlnodsazen"/>
        <w:tabs>
          <w:tab w:val="left" w:pos="3403"/>
        </w:tabs>
      </w:pPr>
    </w:p>
    <w:p w:rsidR="00811287" w:rsidRDefault="00811287">
      <w:pPr>
        <w:pStyle w:val="Zkladntextodsazen2"/>
      </w:pPr>
      <w:r>
        <w:t>kontrolní prohlídky:</w:t>
      </w:r>
      <w:r>
        <w:tab/>
        <w:t xml:space="preserve">podmínkou výstavby, v souladu se zákonem č. 183/2006 Sb. „O územním plánování a stavebním řádu“, jsou i kontrolní prohlídky tak, jak toto upravuje § 132 a 136. Zejména je nutno, aby investor, případně stavební dozor, pozval zástupce stavebního úřadu. </w:t>
      </w:r>
    </w:p>
    <w:p w:rsidR="00811287" w:rsidRDefault="00811287">
      <w:pPr>
        <w:pStyle w:val="Normlnodsazen"/>
      </w:pPr>
      <w:r>
        <w:t>Stavební úřad provádí kontrolní prohlídku rozestavěné stavby ve fázi uvedené v podmínkách stavebního povolení a dle plánu kontrolních prohlídek stavby, případně před vydáním kolaudačního souhlasu a v případech, kdy má být nařízeno neodkladné odstranění stavby, nutné zabezpečovací práce, nezbytné úpravy nebo vyklizení stavby; může provést kontrolní prohlídku též u nařízených udržovacích prací, u odstraňované stavby a v jiných případech, kdy je to pro plnění úkolů stavebního řádu potřebné.</w:t>
      </w:r>
    </w:p>
    <w:p w:rsidR="00811287" w:rsidRDefault="00811287">
      <w:pPr>
        <w:pStyle w:val="Normlnodsazen"/>
      </w:pPr>
      <w:r>
        <w:t>V našem případě je nutno, aby byl vyzván stavební úřad ke kontrolní prohlídce zejména při přebírání pláně vozovek a dále pak i jednotlivých podkladních vrstev, případně dalších nosných konstrukcí silničního tělesa.</w:t>
      </w:r>
    </w:p>
    <w:p w:rsidR="00811287" w:rsidRDefault="00811287">
      <w:pPr>
        <w:pStyle w:val="Nadpis4"/>
      </w:pPr>
      <w:r>
        <w:t>statistické údaje</w:t>
      </w:r>
    </w:p>
    <w:p w:rsidR="00811287" w:rsidRDefault="00811287">
      <w:pPr>
        <w:pStyle w:val="Normlnodsazen"/>
        <w:tabs>
          <w:tab w:val="right" w:pos="7230"/>
          <w:tab w:val="right" w:pos="8789"/>
        </w:tabs>
      </w:pPr>
      <w:r>
        <w:t>počet parkovacích míst (parkování s přesahem)</w:t>
      </w:r>
      <w:r>
        <w:tab/>
        <w:t>27 míst</w:t>
      </w:r>
    </w:p>
    <w:p w:rsidR="00811287" w:rsidRDefault="00811287">
      <w:pPr>
        <w:pStyle w:val="Normlnodsazen"/>
        <w:tabs>
          <w:tab w:val="right" w:pos="7230"/>
          <w:tab w:val="right" w:pos="8789"/>
        </w:tabs>
      </w:pPr>
      <w:r>
        <w:t>počet míst pro vozidla s označením O2</w:t>
      </w:r>
      <w:r>
        <w:tab/>
        <w:t>2 míst</w:t>
      </w:r>
    </w:p>
    <w:p w:rsidR="00811287" w:rsidRDefault="00811287">
      <w:pPr>
        <w:pStyle w:val="Nadpis1"/>
        <w:pageBreakBefore/>
        <w:spacing w:before="600"/>
      </w:pPr>
      <w:r>
        <w:lastRenderedPageBreak/>
        <w:t>B. souhrnná technická zpráva</w:t>
      </w:r>
    </w:p>
    <w:p w:rsidR="00811287" w:rsidRDefault="00811287">
      <w:pPr>
        <w:pStyle w:val="Nadpis4"/>
        <w:rPr>
          <w:sz w:val="20"/>
        </w:rPr>
      </w:pPr>
      <w:r>
        <w:rPr>
          <w:sz w:val="20"/>
        </w:rPr>
        <w:t>Urbanistické, architektonické a stavebně technické řešení</w:t>
      </w:r>
    </w:p>
    <w:p w:rsidR="00811287" w:rsidRDefault="00811287">
      <w:pPr>
        <w:pStyle w:val="Normlnodsazen"/>
      </w:pPr>
      <w:r>
        <w:t xml:space="preserve">Projektová dokumentace na řešení úpravy vnitrobloku mezi Truhlářskou ulicí a školním hřištěm byla zpracována s cílem posílit parkovací možnosti pro přilehlý bytový dům, který jiné plochy pro vyvinutí parkovacího zázemí nemá (na přilehlé části Okružní ulice je zastávka autobusu, Truhlářská ulice se domu dotýká na šířku štítu a na protilehlé straně je výše zmíněné školní hřiště, takže nezbývá než přístupové komunikace upravit do podoby komunikací s parkovacím pruhem). </w:t>
      </w:r>
    </w:p>
    <w:p w:rsidR="00811287" w:rsidRDefault="00811287">
      <w:pPr>
        <w:pStyle w:val="Normlnodsazen"/>
      </w:pPr>
      <w:r>
        <w:t xml:space="preserve">Nedílnou součástí stavebních úprav je i obnova veřejného osvětlení (náhrada za stávající a jeho optimálnější rozmístění, které ale řeší jiná stavba, VO bude obnoveno na daleko větší ploše než jen pro toto parkoviště). </w:t>
      </w:r>
    </w:p>
    <w:p w:rsidR="00811287" w:rsidRDefault="00811287">
      <w:pPr>
        <w:pStyle w:val="Normlnodsazen"/>
      </w:pPr>
      <w:r>
        <w:t>Nově navržené uliční vpusti jsou zaústěny do stávající kanalizace. Princip odvodnění ploch se nemění.</w:t>
      </w:r>
    </w:p>
    <w:p w:rsidR="00811287" w:rsidRDefault="00811287">
      <w:pPr>
        <w:pStyle w:val="Normlnodsazen"/>
      </w:pPr>
      <w:r>
        <w:t>Jiné stavební činnosti nejsou předpokládány.</w:t>
      </w:r>
    </w:p>
    <w:p w:rsidR="00811287" w:rsidRDefault="00811287">
      <w:pPr>
        <w:pStyle w:val="Normlnodsazen"/>
      </w:pPr>
      <w:r>
        <w:t>Vzhledem k tomu, že tato PD vychází z předchozího projektového řešení, jsou v místech, kterých se nedotýká změna tohoto projektového řešení, využita původní vyjádření správců sítí. Rovněž vzhledem k principiálně shodnému návrhu dopravního řešení jsou využity i vyjádření některých orgánů státní správy.</w:t>
      </w:r>
    </w:p>
    <w:p w:rsidR="00811287" w:rsidRDefault="00811287">
      <w:pPr>
        <w:pStyle w:val="Nadpis4"/>
      </w:pPr>
      <w:r>
        <w:t>Požární bezpečnost</w:t>
      </w:r>
    </w:p>
    <w:p w:rsidR="00811287" w:rsidRDefault="00811287">
      <w:pPr>
        <w:pStyle w:val="Normlnodsazen"/>
      </w:pPr>
      <w:r>
        <w:t>Stavba svým charakterem nevyžaduje řešit speciální protipožární zabezpečení. Objekt je pouze čtyřpodlažní s rozdílem výšek prvního a posledního podlaží méně než 12 m.</w:t>
      </w:r>
    </w:p>
    <w:p w:rsidR="00811287" w:rsidRDefault="00811287">
      <w:pPr>
        <w:pStyle w:val="Normlnodsazen"/>
      </w:pPr>
      <w:r>
        <w:t xml:space="preserve">Přístupy k objektům a nástupní plochy jsou zachovány, parkování je orientováno na opačnou stranu přístupové komunikace. </w:t>
      </w:r>
    </w:p>
    <w:p w:rsidR="00811287" w:rsidRDefault="00811287"/>
    <w:p w:rsidR="00811287" w:rsidRDefault="00811287">
      <w:pPr>
        <w:pStyle w:val="Nadpis4"/>
      </w:pPr>
      <w:r>
        <w:t>Hygiena, ochrana zdraví a životního prostředí</w:t>
      </w:r>
    </w:p>
    <w:p w:rsidR="00811287" w:rsidRDefault="00811287">
      <w:pPr>
        <w:pStyle w:val="Normlnodsazen"/>
      </w:pPr>
      <w:r>
        <w:t>Při provádění stavebních prací je nutno dodržovat základní předpisy a pravidla daná platnou legislativou.</w:t>
      </w:r>
    </w:p>
    <w:p w:rsidR="00811287" w:rsidRDefault="00811287">
      <w:pPr>
        <w:pStyle w:val="Normlnodsazen"/>
      </w:pPr>
      <w:r>
        <w:t>Zejména prašnost a hlučnost je nutno omezit na minimum a zbytečně neobtěžovat okolí.</w:t>
      </w:r>
    </w:p>
    <w:p w:rsidR="00811287" w:rsidRDefault="00811287">
      <w:pPr>
        <w:pStyle w:val="Nadpis4"/>
      </w:pPr>
      <w:r>
        <w:t>Bezpečnost při užívání</w:t>
      </w:r>
    </w:p>
    <w:p w:rsidR="00811287" w:rsidRDefault="00811287">
      <w:pPr>
        <w:pStyle w:val="Normlnodsazen"/>
      </w:pPr>
      <w:r>
        <w:t>Po dobu výstavby je nutno dodržovat veškeré příslušné bezpečnostní normy a předpisy (zejména celkové zajištění stavby a překopů, bude-li to nutné k zajištění přístupnosti, pak je třeba přes překopy realizovat lávky pro pěší).</w:t>
      </w:r>
    </w:p>
    <w:p w:rsidR="00811287" w:rsidRDefault="00811287">
      <w:pPr>
        <w:pStyle w:val="Normlnodsazen"/>
      </w:pPr>
      <w:r>
        <w:t>V následném provozu je pouze nutno dodržovat základní platnou legislativu, zejména platná pravidla silničního provozu a zásady slušné jízdy a chůze.</w:t>
      </w:r>
    </w:p>
    <w:p w:rsidR="00811287" w:rsidRDefault="00811287"/>
    <w:p w:rsidR="00811287" w:rsidRDefault="00811287">
      <w:pPr>
        <w:pStyle w:val="Nadpis4"/>
      </w:pPr>
      <w:r>
        <w:lastRenderedPageBreak/>
        <w:t>Ochrana proti hluku</w:t>
      </w:r>
    </w:p>
    <w:p w:rsidR="00811287" w:rsidRDefault="00811287">
      <w:pPr>
        <w:pStyle w:val="Normlnodsazen"/>
      </w:pPr>
      <w:r>
        <w:t>Stroje a pracovní postupy užívané při výstavbě musí splňovat podmínky, za nichž byly schváleny do provozu a užívání.</w:t>
      </w:r>
    </w:p>
    <w:p w:rsidR="00811287" w:rsidRDefault="00811287">
      <w:pPr>
        <w:pStyle w:val="Normlnodsazen"/>
      </w:pPr>
      <w:r>
        <w:t>Stavební práce je nutno rozvrhnout tak, aby hlučné činnosti časově nezasahovaly do ranních nebo naopak večerních hodin.</w:t>
      </w:r>
    </w:p>
    <w:p w:rsidR="00811287" w:rsidRDefault="00811287">
      <w:pPr>
        <w:pStyle w:val="Nadpis4"/>
      </w:pPr>
      <w:r>
        <w:t>Řešení přístupu pro ZTP</w:t>
      </w:r>
    </w:p>
    <w:p w:rsidR="00811287" w:rsidRDefault="00811287">
      <w:pPr>
        <w:pStyle w:val="Normlnodsazen"/>
      </w:pPr>
      <w:r>
        <w:t>Stavba splňuje platnou legislativu z pohledu řešení bezbariérových přístupů a vymezení míst pro vozidla s označením O1 (ZTP).</w:t>
      </w:r>
    </w:p>
    <w:p w:rsidR="00811287" w:rsidRDefault="00811287">
      <w:pPr>
        <w:pStyle w:val="Nadpis4"/>
      </w:pPr>
      <w:r>
        <w:t>Ochrana obyvatelstva před vlivy vnějšího prostředí</w:t>
      </w:r>
    </w:p>
    <w:p w:rsidR="00811287" w:rsidRDefault="00811287">
      <w:pPr>
        <w:pStyle w:val="Normlnodsazen"/>
      </w:pPr>
      <w:r>
        <w:t>V běžném užívání nemá stavba negativní vlivy na vnější prostředí.</w:t>
      </w:r>
    </w:p>
    <w:p w:rsidR="00811287" w:rsidRDefault="00811287">
      <w:pPr>
        <w:pStyle w:val="Nadpis4"/>
      </w:pPr>
      <w:r>
        <w:t>Inženýrské stavby (objekty)</w:t>
      </w:r>
    </w:p>
    <w:p w:rsidR="00811287" w:rsidRDefault="00811287">
      <w:pPr>
        <w:pStyle w:val="Normlnodsazen"/>
      </w:pPr>
      <w:r>
        <w:t>Stavba není rozdělena na stavební objekty.</w:t>
      </w:r>
    </w:p>
    <w:p w:rsidR="009E3745" w:rsidRDefault="009E3745">
      <w:pPr>
        <w:pStyle w:val="Normlnodsazen"/>
      </w:pPr>
      <w:r>
        <w:t>Součástí dopravního řešení jsou i „Parkové úpravy“. Výsadba je patrná z orientační situace v příloze. Ošetřování zeleně je dáno základními zásadami a normami. Pozor, o stromovou a keřovou zeleň je nutno pečovat se zvýšeným úsilím minimálně 2 roky po výsadbě!</w:t>
      </w:r>
    </w:p>
    <w:p w:rsidR="00811287" w:rsidRDefault="00811287"/>
    <w:p w:rsidR="00811287" w:rsidRDefault="00811287">
      <w:pPr>
        <w:pStyle w:val="Nadpis1"/>
        <w:spacing w:before="600"/>
      </w:pPr>
      <w:r>
        <w:t>C. situace stavby</w:t>
      </w:r>
    </w:p>
    <w:p w:rsidR="00811287" w:rsidRDefault="00811287">
      <w:pPr>
        <w:pStyle w:val="Seznamsodrkami2"/>
        <w:numPr>
          <w:ilvl w:val="0"/>
          <w:numId w:val="2"/>
        </w:numPr>
        <w:tabs>
          <w:tab w:val="right" w:pos="5670"/>
        </w:tabs>
      </w:pPr>
      <w:r>
        <w:t xml:space="preserve">širší vztahy </w:t>
      </w:r>
      <w:r>
        <w:tab/>
      </w:r>
      <w:proofErr w:type="gramStart"/>
      <w:r>
        <w:t>A.0</w:t>
      </w:r>
      <w:proofErr w:type="gramEnd"/>
    </w:p>
    <w:p w:rsidR="00811287" w:rsidRDefault="00811287">
      <w:pPr>
        <w:pStyle w:val="Seznamsodrkami2"/>
        <w:numPr>
          <w:ilvl w:val="0"/>
          <w:numId w:val="2"/>
        </w:numPr>
        <w:tabs>
          <w:tab w:val="right" w:pos="5670"/>
        </w:tabs>
      </w:pPr>
      <w:r>
        <w:t>koordinační situace</w:t>
      </w:r>
      <w:r>
        <w:tab/>
      </w:r>
      <w:proofErr w:type="gramStart"/>
      <w:r>
        <w:t>A.01</w:t>
      </w:r>
      <w:proofErr w:type="gramEnd"/>
    </w:p>
    <w:p w:rsidR="00811287" w:rsidRDefault="00811287">
      <w:pPr>
        <w:pStyle w:val="Seznamsodrkami2"/>
        <w:numPr>
          <w:ilvl w:val="0"/>
          <w:numId w:val="2"/>
        </w:numPr>
        <w:tabs>
          <w:tab w:val="right" w:pos="5670"/>
        </w:tabs>
      </w:pPr>
      <w:r>
        <w:t>KM se zákresem stavby</w:t>
      </w:r>
      <w:r>
        <w:tab/>
      </w:r>
      <w:proofErr w:type="gramStart"/>
      <w:r>
        <w:t>A.02</w:t>
      </w:r>
      <w:proofErr w:type="gramEnd"/>
    </w:p>
    <w:p w:rsidR="00811287" w:rsidRDefault="00811287">
      <w:pPr>
        <w:pStyle w:val="Seznamsodrkami2"/>
        <w:numPr>
          <w:ilvl w:val="0"/>
          <w:numId w:val="2"/>
        </w:numPr>
        <w:tabs>
          <w:tab w:val="right" w:pos="5670"/>
        </w:tabs>
      </w:pPr>
      <w:r>
        <w:t>dopravní opatření</w:t>
      </w:r>
      <w:r>
        <w:tab/>
      </w:r>
      <w:proofErr w:type="gramStart"/>
      <w:r>
        <w:t>DO</w:t>
      </w:r>
      <w:proofErr w:type="gramEnd"/>
    </w:p>
    <w:p w:rsidR="0074225B" w:rsidRDefault="0074225B">
      <w:pPr>
        <w:pStyle w:val="Seznamsodrkami2"/>
        <w:numPr>
          <w:ilvl w:val="0"/>
          <w:numId w:val="2"/>
        </w:numPr>
        <w:tabs>
          <w:tab w:val="right" w:pos="5670"/>
        </w:tabs>
      </w:pPr>
      <w:r>
        <w:t>parkové úpravy</w:t>
      </w:r>
      <w:r>
        <w:tab/>
      </w:r>
      <w:r w:rsidR="00846D4F">
        <w:t>PU</w:t>
      </w:r>
    </w:p>
    <w:p w:rsidR="00846D4F" w:rsidRDefault="00846D4F">
      <w:pPr>
        <w:pStyle w:val="Seznamsodrkami2"/>
        <w:numPr>
          <w:ilvl w:val="0"/>
          <w:numId w:val="2"/>
        </w:numPr>
        <w:tabs>
          <w:tab w:val="right" w:pos="5670"/>
        </w:tabs>
      </w:pPr>
      <w:r>
        <w:t>vlastní dopravní řešení</w:t>
      </w:r>
    </w:p>
    <w:p w:rsidR="00811287" w:rsidRDefault="009E3745">
      <w:pPr>
        <w:pStyle w:val="Nadpis1"/>
        <w:spacing w:before="600"/>
      </w:pPr>
      <w:r>
        <w:t>D</w:t>
      </w:r>
      <w:r w:rsidR="00811287">
        <w:t>. zásady organizace výstavby</w:t>
      </w:r>
    </w:p>
    <w:p w:rsidR="00811287" w:rsidRDefault="00811287">
      <w:pPr>
        <w:pStyle w:val="Normlnodsazen"/>
      </w:pPr>
      <w:r>
        <w:t xml:space="preserve">Detailní POV a případně změněné dopravní opatření budou zpracovány konkrétním dodavatelem, s nímž je možno formou technické pomoci spolupracovat. </w:t>
      </w:r>
    </w:p>
    <w:p w:rsidR="00811287" w:rsidRDefault="00811287">
      <w:pPr>
        <w:pStyle w:val="Normlnodsazen"/>
      </w:pPr>
      <w:r>
        <w:t>Základní výchozí podmínky jsou tyto:</w:t>
      </w:r>
    </w:p>
    <w:p w:rsidR="00811287" w:rsidRDefault="00811287">
      <w:pPr>
        <w:numPr>
          <w:ilvl w:val="0"/>
          <w:numId w:val="3"/>
        </w:numPr>
      </w:pPr>
      <w:r>
        <w:t xml:space="preserve">po dobu výstavby je nutno zachovat, byť v omezené míře, průchod daným prostorem, protože tudy prochází jediná přímá propojka k domovním vchodům </w:t>
      </w:r>
    </w:p>
    <w:p w:rsidR="00811287" w:rsidRDefault="00811287">
      <w:pPr>
        <w:numPr>
          <w:ilvl w:val="0"/>
          <w:numId w:val="3"/>
        </w:numPr>
      </w:pPr>
      <w:r>
        <w:t xml:space="preserve">ze staveniště je nutno bezodkladně odvážet vybourané hmoty a nadbytečnou zeminu </w:t>
      </w:r>
    </w:p>
    <w:p w:rsidR="00811287" w:rsidRDefault="00811287">
      <w:pPr>
        <w:numPr>
          <w:ilvl w:val="0"/>
          <w:numId w:val="3"/>
        </w:numPr>
      </w:pPr>
      <w:r>
        <w:t>dovážená zemina a stavební hmoty budou ihned zabudovány nebo, z důvodů harmonogramu výstavby, deponovány na pozemcích v majetku investora a na místech smluvně k tomu určených</w:t>
      </w:r>
    </w:p>
    <w:p w:rsidR="00811287" w:rsidRDefault="00811287">
      <w:pPr>
        <w:numPr>
          <w:ilvl w:val="0"/>
          <w:numId w:val="3"/>
        </w:numPr>
      </w:pPr>
      <w:r>
        <w:t>zařízení staveniště, skládky, případně sběrná recyklační místa budou upřesněny s konkrétním vybraným dodavatelem</w:t>
      </w:r>
    </w:p>
    <w:p w:rsidR="00811287" w:rsidRDefault="00811287">
      <w:pPr>
        <w:numPr>
          <w:ilvl w:val="0"/>
          <w:numId w:val="3"/>
        </w:numPr>
      </w:pPr>
      <w:r>
        <w:lastRenderedPageBreak/>
        <w:t>stavba bude po dobu výstavby vymezena a zabezpečena dle platných předpisů, nařízení a příslušných bezpečnostních norem a předpisy (zejména celkové zajištění stavby a překopů (pažení).</w:t>
      </w:r>
    </w:p>
    <w:p w:rsidR="00811287" w:rsidRDefault="00811287">
      <w:pPr>
        <w:numPr>
          <w:ilvl w:val="0"/>
          <w:numId w:val="3"/>
        </w:numPr>
      </w:pPr>
      <w:r>
        <w:t xml:space="preserve">pokud bude splněna podmínka průjezdnosti do vybraných míst (školní hřiště), nevyžaduje stavba žádné náročné dopravní opatření, rekonstrukce vozovek a chodníků bude probíhat po dílčích úsecích, nové parkoviště a vjezdové prahy při plné uzávěře. </w:t>
      </w:r>
    </w:p>
    <w:p w:rsidR="00811287" w:rsidRDefault="00811287">
      <w:pPr>
        <w:numPr>
          <w:ilvl w:val="0"/>
          <w:numId w:val="3"/>
        </w:numPr>
      </w:pPr>
      <w:r>
        <w:t>Dopravní opatření bude jednoduché, pro přestavbu komunikace ke hřišti musí být plná dopravní uzávěra</w:t>
      </w:r>
    </w:p>
    <w:p w:rsidR="00811287" w:rsidRDefault="00811287">
      <w:pPr>
        <w:numPr>
          <w:ilvl w:val="0"/>
          <w:numId w:val="3"/>
        </w:numPr>
      </w:pPr>
      <w:r>
        <w:t xml:space="preserve">V navazující fázi již není dopravní opatření nutné. Důvodem je to, že po obnově konstrukce komunikace ke hřišti již není stavba prováděna na </w:t>
      </w:r>
      <w:r w:rsidR="009E3745">
        <w:t>komunikacích</w:t>
      </w:r>
      <w:r>
        <w:t xml:space="preserve"> s provozem, pro tuto navazující část stavby prakticky postačí ohraničení staveniště klasickým vymezovacím způsobem (oplocení, vymezovací pásky apod.).</w:t>
      </w:r>
    </w:p>
    <w:p w:rsidR="009E3745" w:rsidRDefault="009E3745" w:rsidP="009E3745">
      <w:pPr>
        <w:pStyle w:val="Nadpis1"/>
        <w:spacing w:before="600"/>
      </w:pPr>
      <w:r>
        <w:t>E. dokladová část</w:t>
      </w:r>
    </w:p>
    <w:p w:rsidR="009E3745" w:rsidRDefault="009E3745" w:rsidP="009E3745">
      <w:pPr>
        <w:pStyle w:val="Normlnodsazen"/>
      </w:pPr>
      <w:r>
        <w:t>Viz. samostatná složka</w:t>
      </w:r>
    </w:p>
    <w:p w:rsidR="009E3745" w:rsidRDefault="009E3745" w:rsidP="009E3745"/>
    <w:p w:rsidR="00811287" w:rsidRDefault="00811287">
      <w:pPr>
        <w:jc w:val="center"/>
      </w:pPr>
      <w:r>
        <w:t>__________________________________________</w:t>
      </w:r>
    </w:p>
    <w:p w:rsidR="00811287" w:rsidRDefault="00811287">
      <w:pPr>
        <w:jc w:val="center"/>
      </w:pPr>
      <w:r>
        <w:t>________________________</w:t>
      </w:r>
    </w:p>
    <w:sectPr w:rsidR="00811287" w:rsidSect="00BC27CB">
      <w:headerReference w:type="default" r:id="rId8"/>
      <w:footerReference w:type="default" r:id="rId9"/>
      <w:pgSz w:w="11907" w:h="16840" w:code="9"/>
      <w:pgMar w:top="1418" w:right="1418" w:bottom="1304" w:left="1418" w:header="708" w:footer="708" w:gutter="0"/>
      <w:paperSrc w:first="1" w:other="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225B" w:rsidRDefault="0074225B">
      <w:r>
        <w:separator/>
      </w:r>
    </w:p>
  </w:endnote>
  <w:endnote w:type="continuationSeparator" w:id="0">
    <w:p w:rsidR="0074225B" w:rsidRDefault="0074225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1" w:type="dxa"/>
      <w:tblLayout w:type="fixed"/>
      <w:tblCellMar>
        <w:left w:w="70" w:type="dxa"/>
        <w:right w:w="70" w:type="dxa"/>
      </w:tblCellMar>
      <w:tblLook w:val="0000"/>
    </w:tblPr>
    <w:tblGrid>
      <w:gridCol w:w="5670"/>
      <w:gridCol w:w="1701"/>
      <w:gridCol w:w="1701"/>
    </w:tblGrid>
    <w:tr w:rsidR="0074225B">
      <w:trPr>
        <w:cantSplit/>
      </w:trPr>
      <w:tc>
        <w:tcPr>
          <w:tcW w:w="5670" w:type="dxa"/>
          <w:tcBorders>
            <w:top w:val="single" w:sz="12" w:space="0" w:color="auto"/>
            <w:left w:val="single" w:sz="12" w:space="0" w:color="auto"/>
            <w:bottom w:val="single" w:sz="12" w:space="0" w:color="auto"/>
            <w:right w:val="single" w:sz="6" w:space="0" w:color="auto"/>
          </w:tcBorders>
        </w:tcPr>
        <w:p w:rsidR="0074225B" w:rsidRDefault="0074225B">
          <w:pPr>
            <w:pStyle w:val="Zpat"/>
          </w:pPr>
          <w:r>
            <w:t>KV, Truhlářská ulice</w:t>
          </w:r>
        </w:p>
      </w:tc>
      <w:tc>
        <w:tcPr>
          <w:tcW w:w="1701" w:type="dxa"/>
          <w:tcBorders>
            <w:top w:val="single" w:sz="12" w:space="0" w:color="auto"/>
            <w:left w:val="single" w:sz="6" w:space="0" w:color="auto"/>
            <w:bottom w:val="single" w:sz="12" w:space="0" w:color="auto"/>
            <w:right w:val="single" w:sz="6" w:space="0" w:color="auto"/>
          </w:tcBorders>
          <w:shd w:val="pct10" w:color="auto" w:fill="auto"/>
        </w:tcPr>
        <w:p w:rsidR="0074225B" w:rsidRDefault="0074225B">
          <w:pPr>
            <w:pStyle w:val="Zpat"/>
            <w:rPr>
              <w:b/>
              <w:i w:val="0"/>
            </w:rPr>
          </w:pPr>
        </w:p>
      </w:tc>
      <w:tc>
        <w:tcPr>
          <w:tcW w:w="1701" w:type="dxa"/>
          <w:tcBorders>
            <w:top w:val="single" w:sz="12" w:space="0" w:color="auto"/>
            <w:left w:val="single" w:sz="6" w:space="0" w:color="auto"/>
            <w:bottom w:val="single" w:sz="12" w:space="0" w:color="auto"/>
            <w:right w:val="single" w:sz="12" w:space="0" w:color="auto"/>
          </w:tcBorders>
        </w:tcPr>
        <w:p w:rsidR="0074225B" w:rsidRDefault="00BC27CB">
          <w:pPr>
            <w:pStyle w:val="Zpat"/>
          </w:pPr>
          <w:r>
            <w:rPr>
              <w:rStyle w:val="slostrnky"/>
              <w:b/>
              <w:i w:val="0"/>
            </w:rPr>
            <w:fldChar w:fldCharType="begin"/>
          </w:r>
          <w:r w:rsidR="0074225B">
            <w:rPr>
              <w:rStyle w:val="slostrnky"/>
              <w:b/>
              <w:i w:val="0"/>
            </w:rPr>
            <w:instrText xml:space="preserve"> PAGE </w:instrText>
          </w:r>
          <w:r>
            <w:rPr>
              <w:rStyle w:val="slostrnky"/>
              <w:b/>
              <w:i w:val="0"/>
            </w:rPr>
            <w:fldChar w:fldCharType="separate"/>
          </w:r>
          <w:r w:rsidR="009E3745">
            <w:rPr>
              <w:rStyle w:val="slostrnky"/>
              <w:b/>
              <w:i w:val="0"/>
              <w:noProof/>
            </w:rPr>
            <w:t>5</w:t>
          </w:r>
          <w:r>
            <w:rPr>
              <w:rStyle w:val="slostrnky"/>
              <w:b/>
              <w:i w:val="0"/>
            </w:rPr>
            <w:fldChar w:fldCharType="end"/>
          </w:r>
        </w:p>
      </w:tc>
    </w:tr>
  </w:tbl>
  <w:p w:rsidR="0074225B" w:rsidRDefault="0074225B">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225B" w:rsidRDefault="0074225B">
      <w:r>
        <w:separator/>
      </w:r>
    </w:p>
  </w:footnote>
  <w:footnote w:type="continuationSeparator" w:id="0">
    <w:p w:rsidR="0074225B" w:rsidRDefault="0074225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000"/>
    </w:tblPr>
    <w:tblGrid>
      <w:gridCol w:w="9128"/>
    </w:tblGrid>
    <w:tr w:rsidR="0074225B">
      <w:trPr>
        <w:cantSplit/>
        <w:trHeight w:hRule="exact" w:val="314"/>
        <w:jc w:val="center"/>
      </w:trPr>
      <w:tc>
        <w:tcPr>
          <w:tcW w:w="9128" w:type="dxa"/>
        </w:tcPr>
        <w:p w:rsidR="0074225B" w:rsidRDefault="0074225B">
          <w:pPr>
            <w:pStyle w:val="Zhlav"/>
            <w:rPr>
              <w:b/>
              <w:i w:val="0"/>
            </w:rPr>
          </w:pPr>
          <w:r>
            <w:rPr>
              <w:b/>
              <w:i w:val="0"/>
            </w:rPr>
            <w:t>Ing. Martin Kohout; Klínovecká 998; PS 23; 363 01 Ostrov; tel. a fax 353821435</w:t>
          </w:r>
        </w:p>
      </w:tc>
    </w:tr>
  </w:tbl>
  <w:p w:rsidR="0074225B" w:rsidRDefault="0074225B">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E452AE2A"/>
    <w:lvl w:ilvl="0">
      <w:numFmt w:val="decimal"/>
      <w:lvlText w:val="*"/>
      <w:lvlJc w:val="left"/>
    </w:lvl>
  </w:abstractNum>
  <w:abstractNum w:abstractNumId="1">
    <w:nsid w:val="025D66CB"/>
    <w:multiLevelType w:val="hybridMultilevel"/>
    <w:tmpl w:val="6784D3E2"/>
    <w:lvl w:ilvl="0" w:tplc="75C0C546">
      <w:start w:val="1"/>
      <w:numFmt w:val="bullet"/>
      <w:lvlText w:val=""/>
      <w:lvlJc w:val="left"/>
      <w:pPr>
        <w:tabs>
          <w:tab w:val="num" w:pos="1494"/>
        </w:tabs>
        <w:ind w:left="1494" w:hanging="397"/>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
    <w:nsid w:val="0F30472B"/>
    <w:multiLevelType w:val="multilevel"/>
    <w:tmpl w:val="3620D880"/>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nsid w:val="0F47460A"/>
    <w:multiLevelType w:val="multilevel"/>
    <w:tmpl w:val="7E620CB8"/>
    <w:lvl w:ilvl="0">
      <w:start w:val="2"/>
      <w:numFmt w:val="decimal"/>
      <w:lvlText w:val="%1."/>
      <w:lvlJc w:val="left"/>
      <w:pPr>
        <w:tabs>
          <w:tab w:val="num" w:pos="1020"/>
        </w:tabs>
        <w:ind w:left="1020" w:hanging="1020"/>
      </w:pPr>
      <w:rPr>
        <w:rFonts w:hint="default"/>
      </w:rPr>
    </w:lvl>
    <w:lvl w:ilvl="1">
      <w:start w:val="2"/>
      <w:numFmt w:val="decimal"/>
      <w:lvlText w:val="%1.%2."/>
      <w:lvlJc w:val="left"/>
      <w:pPr>
        <w:tabs>
          <w:tab w:val="num" w:pos="4260"/>
        </w:tabs>
        <w:ind w:left="4260" w:hanging="1020"/>
      </w:pPr>
      <w:rPr>
        <w:rFonts w:hint="default"/>
      </w:rPr>
    </w:lvl>
    <w:lvl w:ilvl="2">
      <w:start w:val="1"/>
      <w:numFmt w:val="decimal"/>
      <w:lvlText w:val="%1.%2.%3."/>
      <w:lvlJc w:val="left"/>
      <w:pPr>
        <w:tabs>
          <w:tab w:val="num" w:pos="7500"/>
        </w:tabs>
        <w:ind w:left="7500" w:hanging="1020"/>
      </w:pPr>
      <w:rPr>
        <w:rFonts w:hint="default"/>
      </w:rPr>
    </w:lvl>
    <w:lvl w:ilvl="3">
      <w:start w:val="1"/>
      <w:numFmt w:val="decimal"/>
      <w:lvlText w:val="%1.%2.%3.%4."/>
      <w:lvlJc w:val="left"/>
      <w:pPr>
        <w:tabs>
          <w:tab w:val="num" w:pos="10800"/>
        </w:tabs>
        <w:ind w:left="10800" w:hanging="1080"/>
      </w:pPr>
      <w:rPr>
        <w:rFonts w:hint="default"/>
      </w:rPr>
    </w:lvl>
    <w:lvl w:ilvl="4">
      <w:start w:val="1"/>
      <w:numFmt w:val="decimal"/>
      <w:lvlText w:val="%1.%2.%3.%4.%5."/>
      <w:lvlJc w:val="left"/>
      <w:pPr>
        <w:tabs>
          <w:tab w:val="num" w:pos="14040"/>
        </w:tabs>
        <w:ind w:left="14040" w:hanging="1080"/>
      </w:pPr>
      <w:rPr>
        <w:rFonts w:hint="default"/>
      </w:rPr>
    </w:lvl>
    <w:lvl w:ilvl="5">
      <w:start w:val="1"/>
      <w:numFmt w:val="decimal"/>
      <w:lvlText w:val="%1.%2.%3.%4.%5.%6."/>
      <w:lvlJc w:val="left"/>
      <w:pPr>
        <w:tabs>
          <w:tab w:val="num" w:pos="17640"/>
        </w:tabs>
        <w:ind w:left="17640" w:hanging="1440"/>
      </w:pPr>
      <w:rPr>
        <w:rFonts w:hint="default"/>
      </w:rPr>
    </w:lvl>
    <w:lvl w:ilvl="6">
      <w:start w:val="1"/>
      <w:numFmt w:val="decimal"/>
      <w:lvlText w:val="%1.%2.%3.%4.%5.%6.%7."/>
      <w:lvlJc w:val="left"/>
      <w:pPr>
        <w:tabs>
          <w:tab w:val="num" w:pos="21240"/>
        </w:tabs>
        <w:ind w:left="21240" w:hanging="1800"/>
      </w:pPr>
      <w:rPr>
        <w:rFonts w:hint="default"/>
      </w:rPr>
    </w:lvl>
    <w:lvl w:ilvl="7">
      <w:start w:val="1"/>
      <w:numFmt w:val="decimal"/>
      <w:lvlText w:val="%1.%2.%3.%4.%5.%6.%7.%8."/>
      <w:lvlJc w:val="left"/>
      <w:pPr>
        <w:tabs>
          <w:tab w:val="num" w:pos="24480"/>
        </w:tabs>
        <w:ind w:left="24480" w:hanging="1800"/>
      </w:pPr>
      <w:rPr>
        <w:rFonts w:hint="default"/>
      </w:rPr>
    </w:lvl>
    <w:lvl w:ilvl="8">
      <w:start w:val="1"/>
      <w:numFmt w:val="decimal"/>
      <w:lvlText w:val="%1.%2.%3.%4.%5.%6.%7.%8.%9."/>
      <w:lvlJc w:val="left"/>
      <w:pPr>
        <w:tabs>
          <w:tab w:val="num" w:pos="28080"/>
        </w:tabs>
        <w:ind w:left="28080" w:hanging="2160"/>
      </w:pPr>
      <w:rPr>
        <w:rFonts w:hint="default"/>
      </w:rPr>
    </w:lvl>
  </w:abstractNum>
  <w:abstractNum w:abstractNumId="4">
    <w:nsid w:val="1A6C4C46"/>
    <w:multiLevelType w:val="hybridMultilevel"/>
    <w:tmpl w:val="A5A410E8"/>
    <w:lvl w:ilvl="0" w:tplc="AF3CFEA0">
      <w:start w:val="1"/>
      <w:numFmt w:val="upperLetter"/>
      <w:lvlText w:val="%1."/>
      <w:lvlJc w:val="left"/>
      <w:pPr>
        <w:tabs>
          <w:tab w:val="num" w:pos="1107"/>
        </w:tabs>
        <w:ind w:left="1107" w:hanging="390"/>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5">
    <w:nsid w:val="1E2D63D6"/>
    <w:multiLevelType w:val="hybridMultilevel"/>
    <w:tmpl w:val="8CF41234"/>
    <w:lvl w:ilvl="0" w:tplc="FA4249FA">
      <w:start w:val="1"/>
      <w:numFmt w:val="upperLetter"/>
      <w:lvlText w:val="%1."/>
      <w:lvlJc w:val="left"/>
      <w:pPr>
        <w:tabs>
          <w:tab w:val="num" w:pos="855"/>
        </w:tabs>
        <w:ind w:left="855" w:hanging="49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1ED34B34"/>
    <w:multiLevelType w:val="hybridMultilevel"/>
    <w:tmpl w:val="AD121D86"/>
    <w:lvl w:ilvl="0" w:tplc="F51850E4">
      <w:start w:val="1"/>
      <w:numFmt w:val="upperLetter"/>
      <w:lvlText w:val="%1."/>
      <w:lvlJc w:val="left"/>
      <w:pPr>
        <w:tabs>
          <w:tab w:val="num" w:pos="1077"/>
        </w:tabs>
        <w:ind w:left="1077" w:hanging="360"/>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7">
    <w:nsid w:val="27D01D14"/>
    <w:multiLevelType w:val="hybridMultilevel"/>
    <w:tmpl w:val="8F16B500"/>
    <w:lvl w:ilvl="0" w:tplc="0405000F">
      <w:start w:val="1"/>
      <w:numFmt w:val="decimal"/>
      <w:lvlText w:val="%1."/>
      <w:lvlJc w:val="left"/>
      <w:pPr>
        <w:tabs>
          <w:tab w:val="num" w:pos="1077"/>
        </w:tabs>
        <w:ind w:left="1077" w:hanging="360"/>
      </w:p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8">
    <w:nsid w:val="2F9F11F6"/>
    <w:multiLevelType w:val="multilevel"/>
    <w:tmpl w:val="91469B1C"/>
    <w:lvl w:ilvl="0">
      <w:start w:val="1"/>
      <w:numFmt w:val="decimal"/>
      <w:lvlText w:val="%1."/>
      <w:lvlJc w:val="left"/>
      <w:pPr>
        <w:tabs>
          <w:tab w:val="num" w:pos="735"/>
        </w:tabs>
        <w:ind w:left="735" w:hanging="735"/>
      </w:pPr>
      <w:rPr>
        <w:rFonts w:hint="default"/>
      </w:rPr>
    </w:lvl>
    <w:lvl w:ilvl="1">
      <w:start w:val="2"/>
      <w:numFmt w:val="decimal"/>
      <w:lvlText w:val="%1.%2."/>
      <w:lvlJc w:val="left"/>
      <w:pPr>
        <w:tabs>
          <w:tab w:val="num" w:pos="3973"/>
        </w:tabs>
        <w:ind w:left="3973" w:hanging="735"/>
      </w:pPr>
      <w:rPr>
        <w:rFonts w:hint="default"/>
      </w:rPr>
    </w:lvl>
    <w:lvl w:ilvl="2">
      <w:start w:val="1"/>
      <w:numFmt w:val="decimal"/>
      <w:lvlText w:val="%1.%2.%3."/>
      <w:lvlJc w:val="left"/>
      <w:pPr>
        <w:tabs>
          <w:tab w:val="num" w:pos="7211"/>
        </w:tabs>
        <w:ind w:left="7211" w:hanging="735"/>
      </w:pPr>
      <w:rPr>
        <w:rFonts w:hint="default"/>
      </w:rPr>
    </w:lvl>
    <w:lvl w:ilvl="3">
      <w:start w:val="1"/>
      <w:numFmt w:val="decimal"/>
      <w:lvlText w:val="%1.%2.%3.%4."/>
      <w:lvlJc w:val="left"/>
      <w:pPr>
        <w:tabs>
          <w:tab w:val="num" w:pos="10794"/>
        </w:tabs>
        <w:ind w:left="10794" w:hanging="1080"/>
      </w:pPr>
      <w:rPr>
        <w:rFonts w:hint="default"/>
      </w:rPr>
    </w:lvl>
    <w:lvl w:ilvl="4">
      <w:start w:val="1"/>
      <w:numFmt w:val="decimal"/>
      <w:lvlText w:val="%1.%2.%3.%4.%5."/>
      <w:lvlJc w:val="left"/>
      <w:pPr>
        <w:tabs>
          <w:tab w:val="num" w:pos="14032"/>
        </w:tabs>
        <w:ind w:left="14032" w:hanging="1080"/>
      </w:pPr>
      <w:rPr>
        <w:rFonts w:hint="default"/>
      </w:rPr>
    </w:lvl>
    <w:lvl w:ilvl="5">
      <w:start w:val="1"/>
      <w:numFmt w:val="decimal"/>
      <w:lvlText w:val="%1.%2.%3.%4.%5.%6."/>
      <w:lvlJc w:val="left"/>
      <w:pPr>
        <w:tabs>
          <w:tab w:val="num" w:pos="17630"/>
        </w:tabs>
        <w:ind w:left="17630" w:hanging="1440"/>
      </w:pPr>
      <w:rPr>
        <w:rFonts w:hint="default"/>
      </w:rPr>
    </w:lvl>
    <w:lvl w:ilvl="6">
      <w:start w:val="1"/>
      <w:numFmt w:val="decimal"/>
      <w:lvlText w:val="%1.%2.%3.%4.%5.%6.%7."/>
      <w:lvlJc w:val="left"/>
      <w:pPr>
        <w:tabs>
          <w:tab w:val="num" w:pos="21228"/>
        </w:tabs>
        <w:ind w:left="21228" w:hanging="1800"/>
      </w:pPr>
      <w:rPr>
        <w:rFonts w:hint="default"/>
      </w:rPr>
    </w:lvl>
    <w:lvl w:ilvl="7">
      <w:start w:val="1"/>
      <w:numFmt w:val="decimal"/>
      <w:lvlText w:val="%1.%2.%3.%4.%5.%6.%7.%8."/>
      <w:lvlJc w:val="left"/>
      <w:pPr>
        <w:tabs>
          <w:tab w:val="num" w:pos="24466"/>
        </w:tabs>
        <w:ind w:left="24466" w:hanging="1800"/>
      </w:pPr>
      <w:rPr>
        <w:rFonts w:hint="default"/>
      </w:rPr>
    </w:lvl>
    <w:lvl w:ilvl="8">
      <w:start w:val="1"/>
      <w:numFmt w:val="decimal"/>
      <w:lvlText w:val="%1.%2.%3.%4.%5.%6.%7.%8.%9."/>
      <w:lvlJc w:val="left"/>
      <w:pPr>
        <w:tabs>
          <w:tab w:val="num" w:pos="28064"/>
        </w:tabs>
        <w:ind w:left="28064" w:hanging="2160"/>
      </w:pPr>
      <w:rPr>
        <w:rFonts w:hint="default"/>
      </w:rPr>
    </w:lvl>
  </w:abstractNum>
  <w:abstractNum w:abstractNumId="9">
    <w:nsid w:val="36C30AD0"/>
    <w:multiLevelType w:val="hybridMultilevel"/>
    <w:tmpl w:val="F070B9AE"/>
    <w:lvl w:ilvl="0" w:tplc="75C0C546">
      <w:start w:val="1"/>
      <w:numFmt w:val="bullet"/>
      <w:lvlText w:val=""/>
      <w:lvlJc w:val="left"/>
      <w:pPr>
        <w:tabs>
          <w:tab w:val="num" w:pos="1134"/>
        </w:tabs>
        <w:ind w:left="1134" w:hanging="397"/>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40FB14EA"/>
    <w:multiLevelType w:val="hybridMultilevel"/>
    <w:tmpl w:val="EF88E93E"/>
    <w:lvl w:ilvl="0" w:tplc="86284874">
      <w:start w:val="1"/>
      <w:numFmt w:val="lowerLetter"/>
      <w:lvlText w:val="%1)"/>
      <w:lvlJc w:val="left"/>
      <w:pPr>
        <w:tabs>
          <w:tab w:val="num" w:pos="1097"/>
        </w:tabs>
        <w:ind w:left="1097" w:hanging="360"/>
      </w:pPr>
      <w:rPr>
        <w:rFonts w:hint="default"/>
      </w:rPr>
    </w:lvl>
    <w:lvl w:ilvl="1" w:tplc="04050019" w:tentative="1">
      <w:start w:val="1"/>
      <w:numFmt w:val="lowerLetter"/>
      <w:lvlText w:val="%2."/>
      <w:lvlJc w:val="left"/>
      <w:pPr>
        <w:tabs>
          <w:tab w:val="num" w:pos="1817"/>
        </w:tabs>
        <w:ind w:left="1817" w:hanging="360"/>
      </w:pPr>
    </w:lvl>
    <w:lvl w:ilvl="2" w:tplc="0405001B" w:tentative="1">
      <w:start w:val="1"/>
      <w:numFmt w:val="lowerRoman"/>
      <w:lvlText w:val="%3."/>
      <w:lvlJc w:val="right"/>
      <w:pPr>
        <w:tabs>
          <w:tab w:val="num" w:pos="2537"/>
        </w:tabs>
        <w:ind w:left="2537" w:hanging="180"/>
      </w:pPr>
    </w:lvl>
    <w:lvl w:ilvl="3" w:tplc="0405000F" w:tentative="1">
      <w:start w:val="1"/>
      <w:numFmt w:val="decimal"/>
      <w:lvlText w:val="%4."/>
      <w:lvlJc w:val="left"/>
      <w:pPr>
        <w:tabs>
          <w:tab w:val="num" w:pos="3257"/>
        </w:tabs>
        <w:ind w:left="3257" w:hanging="360"/>
      </w:pPr>
    </w:lvl>
    <w:lvl w:ilvl="4" w:tplc="04050019" w:tentative="1">
      <w:start w:val="1"/>
      <w:numFmt w:val="lowerLetter"/>
      <w:lvlText w:val="%5."/>
      <w:lvlJc w:val="left"/>
      <w:pPr>
        <w:tabs>
          <w:tab w:val="num" w:pos="3977"/>
        </w:tabs>
        <w:ind w:left="3977" w:hanging="360"/>
      </w:pPr>
    </w:lvl>
    <w:lvl w:ilvl="5" w:tplc="0405001B" w:tentative="1">
      <w:start w:val="1"/>
      <w:numFmt w:val="lowerRoman"/>
      <w:lvlText w:val="%6."/>
      <w:lvlJc w:val="right"/>
      <w:pPr>
        <w:tabs>
          <w:tab w:val="num" w:pos="4697"/>
        </w:tabs>
        <w:ind w:left="4697" w:hanging="180"/>
      </w:pPr>
    </w:lvl>
    <w:lvl w:ilvl="6" w:tplc="0405000F" w:tentative="1">
      <w:start w:val="1"/>
      <w:numFmt w:val="decimal"/>
      <w:lvlText w:val="%7."/>
      <w:lvlJc w:val="left"/>
      <w:pPr>
        <w:tabs>
          <w:tab w:val="num" w:pos="5417"/>
        </w:tabs>
        <w:ind w:left="5417" w:hanging="360"/>
      </w:pPr>
    </w:lvl>
    <w:lvl w:ilvl="7" w:tplc="04050019" w:tentative="1">
      <w:start w:val="1"/>
      <w:numFmt w:val="lowerLetter"/>
      <w:lvlText w:val="%8."/>
      <w:lvlJc w:val="left"/>
      <w:pPr>
        <w:tabs>
          <w:tab w:val="num" w:pos="6137"/>
        </w:tabs>
        <w:ind w:left="6137" w:hanging="360"/>
      </w:pPr>
    </w:lvl>
    <w:lvl w:ilvl="8" w:tplc="0405001B" w:tentative="1">
      <w:start w:val="1"/>
      <w:numFmt w:val="lowerRoman"/>
      <w:lvlText w:val="%9."/>
      <w:lvlJc w:val="right"/>
      <w:pPr>
        <w:tabs>
          <w:tab w:val="num" w:pos="6857"/>
        </w:tabs>
        <w:ind w:left="6857" w:hanging="180"/>
      </w:pPr>
    </w:lvl>
  </w:abstractNum>
  <w:abstractNum w:abstractNumId="11">
    <w:nsid w:val="46E57C98"/>
    <w:multiLevelType w:val="singleLevel"/>
    <w:tmpl w:val="2CF03E7E"/>
    <w:lvl w:ilvl="0">
      <w:start w:val="1"/>
      <w:numFmt w:val="decimal"/>
      <w:lvlText w:val="%1. "/>
      <w:legacy w:legacy="1" w:legacySpace="0" w:legacyIndent="283"/>
      <w:lvlJc w:val="left"/>
      <w:pPr>
        <w:ind w:left="1020" w:hanging="283"/>
      </w:pPr>
      <w:rPr>
        <w:rFonts w:ascii="Bookman Old Style" w:hAnsi="Bookman Old Style" w:hint="default"/>
        <w:b w:val="0"/>
        <w:i/>
        <w:sz w:val="24"/>
        <w:u w:val="none"/>
      </w:rPr>
    </w:lvl>
  </w:abstractNum>
  <w:abstractNum w:abstractNumId="12">
    <w:nsid w:val="487C7397"/>
    <w:multiLevelType w:val="multilevel"/>
    <w:tmpl w:val="72F21996"/>
    <w:lvl w:ilvl="0">
      <w:start w:val="1"/>
      <w:numFmt w:val="upperLetter"/>
      <w:lvlText w:val="%1)"/>
      <w:lvlJc w:val="left"/>
      <w:pPr>
        <w:tabs>
          <w:tab w:val="num" w:pos="851"/>
        </w:tabs>
        <w:ind w:left="851" w:hanging="567"/>
      </w:pPr>
      <w:rPr>
        <w:rFonts w:hint="default"/>
      </w:rPr>
    </w:lvl>
    <w:lvl w:ilvl="1">
      <w:start w:val="1"/>
      <w:numFmt w:val="decimal"/>
      <w:lvlText w:val="%2)"/>
      <w:lvlJc w:val="left"/>
      <w:pPr>
        <w:tabs>
          <w:tab w:val="num" w:pos="1134"/>
        </w:tabs>
        <w:ind w:left="1134"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4C017819"/>
    <w:multiLevelType w:val="hybridMultilevel"/>
    <w:tmpl w:val="54A00F7A"/>
    <w:lvl w:ilvl="0" w:tplc="89C48F50">
      <w:numFmt w:val="bullet"/>
      <w:lvlText w:val="-"/>
      <w:lvlJc w:val="left"/>
      <w:pPr>
        <w:tabs>
          <w:tab w:val="num" w:pos="1097"/>
        </w:tabs>
        <w:ind w:left="1097" w:hanging="360"/>
      </w:pPr>
      <w:rPr>
        <w:rFonts w:ascii="Times New Roman" w:eastAsia="Times New Roman" w:hAnsi="Times New Roman" w:cs="Times New Roman" w:hint="default"/>
      </w:rPr>
    </w:lvl>
    <w:lvl w:ilvl="1" w:tplc="04050003" w:tentative="1">
      <w:start w:val="1"/>
      <w:numFmt w:val="bullet"/>
      <w:lvlText w:val="o"/>
      <w:lvlJc w:val="left"/>
      <w:pPr>
        <w:tabs>
          <w:tab w:val="num" w:pos="1817"/>
        </w:tabs>
        <w:ind w:left="1817" w:hanging="360"/>
      </w:pPr>
      <w:rPr>
        <w:rFonts w:ascii="Courier New" w:hAnsi="Courier New" w:hint="default"/>
      </w:rPr>
    </w:lvl>
    <w:lvl w:ilvl="2" w:tplc="04050005" w:tentative="1">
      <w:start w:val="1"/>
      <w:numFmt w:val="bullet"/>
      <w:lvlText w:val=""/>
      <w:lvlJc w:val="left"/>
      <w:pPr>
        <w:tabs>
          <w:tab w:val="num" w:pos="2537"/>
        </w:tabs>
        <w:ind w:left="2537" w:hanging="360"/>
      </w:pPr>
      <w:rPr>
        <w:rFonts w:ascii="Wingdings" w:hAnsi="Wingdings" w:hint="default"/>
      </w:rPr>
    </w:lvl>
    <w:lvl w:ilvl="3" w:tplc="04050001" w:tentative="1">
      <w:start w:val="1"/>
      <w:numFmt w:val="bullet"/>
      <w:lvlText w:val=""/>
      <w:lvlJc w:val="left"/>
      <w:pPr>
        <w:tabs>
          <w:tab w:val="num" w:pos="3257"/>
        </w:tabs>
        <w:ind w:left="3257" w:hanging="360"/>
      </w:pPr>
      <w:rPr>
        <w:rFonts w:ascii="Symbol" w:hAnsi="Symbol" w:hint="default"/>
      </w:rPr>
    </w:lvl>
    <w:lvl w:ilvl="4" w:tplc="04050003" w:tentative="1">
      <w:start w:val="1"/>
      <w:numFmt w:val="bullet"/>
      <w:lvlText w:val="o"/>
      <w:lvlJc w:val="left"/>
      <w:pPr>
        <w:tabs>
          <w:tab w:val="num" w:pos="3977"/>
        </w:tabs>
        <w:ind w:left="3977" w:hanging="360"/>
      </w:pPr>
      <w:rPr>
        <w:rFonts w:ascii="Courier New" w:hAnsi="Courier New" w:hint="default"/>
      </w:rPr>
    </w:lvl>
    <w:lvl w:ilvl="5" w:tplc="04050005" w:tentative="1">
      <w:start w:val="1"/>
      <w:numFmt w:val="bullet"/>
      <w:lvlText w:val=""/>
      <w:lvlJc w:val="left"/>
      <w:pPr>
        <w:tabs>
          <w:tab w:val="num" w:pos="4697"/>
        </w:tabs>
        <w:ind w:left="4697" w:hanging="360"/>
      </w:pPr>
      <w:rPr>
        <w:rFonts w:ascii="Wingdings" w:hAnsi="Wingdings" w:hint="default"/>
      </w:rPr>
    </w:lvl>
    <w:lvl w:ilvl="6" w:tplc="04050001" w:tentative="1">
      <w:start w:val="1"/>
      <w:numFmt w:val="bullet"/>
      <w:lvlText w:val=""/>
      <w:lvlJc w:val="left"/>
      <w:pPr>
        <w:tabs>
          <w:tab w:val="num" w:pos="5417"/>
        </w:tabs>
        <w:ind w:left="5417" w:hanging="360"/>
      </w:pPr>
      <w:rPr>
        <w:rFonts w:ascii="Symbol" w:hAnsi="Symbol" w:hint="default"/>
      </w:rPr>
    </w:lvl>
    <w:lvl w:ilvl="7" w:tplc="04050003" w:tentative="1">
      <w:start w:val="1"/>
      <w:numFmt w:val="bullet"/>
      <w:lvlText w:val="o"/>
      <w:lvlJc w:val="left"/>
      <w:pPr>
        <w:tabs>
          <w:tab w:val="num" w:pos="6137"/>
        </w:tabs>
        <w:ind w:left="6137" w:hanging="360"/>
      </w:pPr>
      <w:rPr>
        <w:rFonts w:ascii="Courier New" w:hAnsi="Courier New" w:hint="default"/>
      </w:rPr>
    </w:lvl>
    <w:lvl w:ilvl="8" w:tplc="04050005" w:tentative="1">
      <w:start w:val="1"/>
      <w:numFmt w:val="bullet"/>
      <w:lvlText w:val=""/>
      <w:lvlJc w:val="left"/>
      <w:pPr>
        <w:tabs>
          <w:tab w:val="num" w:pos="6857"/>
        </w:tabs>
        <w:ind w:left="6857" w:hanging="360"/>
      </w:pPr>
      <w:rPr>
        <w:rFonts w:ascii="Wingdings" w:hAnsi="Wingdings" w:hint="default"/>
      </w:rPr>
    </w:lvl>
  </w:abstractNum>
  <w:abstractNum w:abstractNumId="14">
    <w:nsid w:val="514F15A5"/>
    <w:multiLevelType w:val="hybridMultilevel"/>
    <w:tmpl w:val="376A30AC"/>
    <w:lvl w:ilvl="0" w:tplc="FA4249FA">
      <w:start w:val="1"/>
      <w:numFmt w:val="upperLetter"/>
      <w:lvlText w:val="%1."/>
      <w:lvlJc w:val="left"/>
      <w:pPr>
        <w:tabs>
          <w:tab w:val="num" w:pos="1592"/>
        </w:tabs>
        <w:ind w:left="1592" w:hanging="495"/>
      </w:pPr>
      <w:rPr>
        <w:rFonts w:hint="default"/>
      </w:rPr>
    </w:lvl>
    <w:lvl w:ilvl="1" w:tplc="04050019" w:tentative="1">
      <w:start w:val="1"/>
      <w:numFmt w:val="lowerLetter"/>
      <w:lvlText w:val="%2."/>
      <w:lvlJc w:val="left"/>
      <w:pPr>
        <w:tabs>
          <w:tab w:val="num" w:pos="2177"/>
        </w:tabs>
        <w:ind w:left="2177" w:hanging="360"/>
      </w:pPr>
    </w:lvl>
    <w:lvl w:ilvl="2" w:tplc="0405001B" w:tentative="1">
      <w:start w:val="1"/>
      <w:numFmt w:val="lowerRoman"/>
      <w:lvlText w:val="%3."/>
      <w:lvlJc w:val="right"/>
      <w:pPr>
        <w:tabs>
          <w:tab w:val="num" w:pos="2897"/>
        </w:tabs>
        <w:ind w:left="2897" w:hanging="180"/>
      </w:pPr>
    </w:lvl>
    <w:lvl w:ilvl="3" w:tplc="0405000F" w:tentative="1">
      <w:start w:val="1"/>
      <w:numFmt w:val="decimal"/>
      <w:lvlText w:val="%4."/>
      <w:lvlJc w:val="left"/>
      <w:pPr>
        <w:tabs>
          <w:tab w:val="num" w:pos="3617"/>
        </w:tabs>
        <w:ind w:left="3617" w:hanging="360"/>
      </w:pPr>
    </w:lvl>
    <w:lvl w:ilvl="4" w:tplc="04050019" w:tentative="1">
      <w:start w:val="1"/>
      <w:numFmt w:val="lowerLetter"/>
      <w:lvlText w:val="%5."/>
      <w:lvlJc w:val="left"/>
      <w:pPr>
        <w:tabs>
          <w:tab w:val="num" w:pos="4337"/>
        </w:tabs>
        <w:ind w:left="4337" w:hanging="360"/>
      </w:pPr>
    </w:lvl>
    <w:lvl w:ilvl="5" w:tplc="0405001B" w:tentative="1">
      <w:start w:val="1"/>
      <w:numFmt w:val="lowerRoman"/>
      <w:lvlText w:val="%6."/>
      <w:lvlJc w:val="right"/>
      <w:pPr>
        <w:tabs>
          <w:tab w:val="num" w:pos="5057"/>
        </w:tabs>
        <w:ind w:left="5057" w:hanging="180"/>
      </w:pPr>
    </w:lvl>
    <w:lvl w:ilvl="6" w:tplc="0405000F" w:tentative="1">
      <w:start w:val="1"/>
      <w:numFmt w:val="decimal"/>
      <w:lvlText w:val="%7."/>
      <w:lvlJc w:val="left"/>
      <w:pPr>
        <w:tabs>
          <w:tab w:val="num" w:pos="5777"/>
        </w:tabs>
        <w:ind w:left="5777" w:hanging="360"/>
      </w:pPr>
    </w:lvl>
    <w:lvl w:ilvl="7" w:tplc="04050019" w:tentative="1">
      <w:start w:val="1"/>
      <w:numFmt w:val="lowerLetter"/>
      <w:lvlText w:val="%8."/>
      <w:lvlJc w:val="left"/>
      <w:pPr>
        <w:tabs>
          <w:tab w:val="num" w:pos="6497"/>
        </w:tabs>
        <w:ind w:left="6497" w:hanging="360"/>
      </w:pPr>
    </w:lvl>
    <w:lvl w:ilvl="8" w:tplc="0405001B" w:tentative="1">
      <w:start w:val="1"/>
      <w:numFmt w:val="lowerRoman"/>
      <w:lvlText w:val="%9."/>
      <w:lvlJc w:val="right"/>
      <w:pPr>
        <w:tabs>
          <w:tab w:val="num" w:pos="7217"/>
        </w:tabs>
        <w:ind w:left="7217" w:hanging="180"/>
      </w:pPr>
    </w:lvl>
  </w:abstractNum>
  <w:abstractNum w:abstractNumId="15">
    <w:nsid w:val="79272BB1"/>
    <w:multiLevelType w:val="hybridMultilevel"/>
    <w:tmpl w:val="3620D88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1"/>
  </w:num>
  <w:num w:numId="2">
    <w:abstractNumId w:val="0"/>
    <w:lvlOverride w:ilvl="0">
      <w:lvl w:ilvl="0">
        <w:start w:val="1"/>
        <w:numFmt w:val="bullet"/>
        <w:lvlText w:val=""/>
        <w:legacy w:legacy="1" w:legacySpace="0" w:legacyIndent="283"/>
        <w:lvlJc w:val="left"/>
        <w:pPr>
          <w:ind w:left="566" w:hanging="283"/>
        </w:pPr>
        <w:rPr>
          <w:rFonts w:ascii="Symbol" w:hAnsi="Symbol" w:hint="default"/>
        </w:rPr>
      </w:lvl>
    </w:lvlOverride>
  </w:num>
  <w:num w:numId="3">
    <w:abstractNumId w:val="0"/>
    <w:lvlOverride w:ilvl="0">
      <w:lvl w:ilvl="0">
        <w:start w:val="1"/>
        <w:numFmt w:val="bullet"/>
        <w:lvlText w:val=""/>
        <w:legacy w:legacy="1" w:legacySpace="0" w:legacyIndent="283"/>
        <w:lvlJc w:val="left"/>
        <w:pPr>
          <w:ind w:left="991" w:hanging="283"/>
        </w:pPr>
        <w:rPr>
          <w:rFonts w:ascii="Symbol" w:hAnsi="Symbol" w:hint="default"/>
        </w:rPr>
      </w:lvl>
    </w:lvlOverride>
  </w:num>
  <w:num w:numId="4">
    <w:abstractNumId w:val="5"/>
  </w:num>
  <w:num w:numId="5">
    <w:abstractNumId w:val="14"/>
  </w:num>
  <w:num w:numId="6">
    <w:abstractNumId w:val="12"/>
  </w:num>
  <w:num w:numId="7">
    <w:abstractNumId w:val="8"/>
  </w:num>
  <w:num w:numId="8">
    <w:abstractNumId w:val="3"/>
  </w:num>
  <w:num w:numId="9">
    <w:abstractNumId w:val="10"/>
  </w:num>
  <w:num w:numId="10">
    <w:abstractNumId w:val="9"/>
  </w:num>
  <w:num w:numId="11">
    <w:abstractNumId w:val="15"/>
  </w:num>
  <w:num w:numId="12">
    <w:abstractNumId w:val="2"/>
  </w:num>
  <w:num w:numId="13">
    <w:abstractNumId w:val="1"/>
  </w:num>
  <w:num w:numId="14">
    <w:abstractNumId w:val="4"/>
  </w:num>
  <w:num w:numId="15">
    <w:abstractNumId w:val="7"/>
  </w:num>
  <w:num w:numId="16">
    <w:abstractNumId w:val="6"/>
  </w:num>
  <w:num w:numId="1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7"/>
  <w:printFractionalCharacterWidth/>
  <w:proofState w:spelling="clean" w:grammar="clean"/>
  <w:doNotTrackMoves/>
  <w:defaultTabStop w:val="708"/>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printColBlack/>
    <w:showBreaksInFrames/>
    <w:suppressSpBfAfterPgBrk/>
    <w:swapBordersFacingPages/>
    <w:convMailMergeEsc/>
    <w:usePrinterMetrics/>
    <w:doNotSuppressParagraphBorders/>
    <w:footnoteLayoutLikeWW8/>
    <w:shapeLayoutLikeWW8/>
    <w:alignTablesRowByRow/>
    <w:forgetLastTabAlignment/>
    <w:autoSpaceLikeWord95/>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B1740"/>
    <w:rsid w:val="0074225B"/>
    <w:rsid w:val="007B1740"/>
    <w:rsid w:val="00811287"/>
    <w:rsid w:val="00846D4F"/>
    <w:rsid w:val="009E3745"/>
    <w:rsid w:val="00BC27CB"/>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11287"/>
    <w:pPr>
      <w:overflowPunct w:val="0"/>
      <w:autoSpaceDE w:val="0"/>
      <w:autoSpaceDN w:val="0"/>
      <w:adjustRightInd w:val="0"/>
      <w:jc w:val="both"/>
      <w:textAlignment w:val="baseline"/>
    </w:pPr>
    <w:rPr>
      <w:rFonts w:ascii="Bookman Old Style" w:hAnsi="Bookman Old Style"/>
      <w:i/>
      <w:color w:val="0070C0"/>
      <w:sz w:val="24"/>
    </w:rPr>
  </w:style>
  <w:style w:type="paragraph" w:styleId="Nadpis1">
    <w:name w:val="heading 1"/>
    <w:basedOn w:val="Normln"/>
    <w:next w:val="Nadpis2"/>
    <w:qFormat/>
    <w:rsid w:val="00BC27CB"/>
    <w:pPr>
      <w:keepNext/>
      <w:spacing w:before="960"/>
      <w:ind w:firstLine="737"/>
      <w:outlineLvl w:val="0"/>
    </w:pPr>
    <w:rPr>
      <w:b/>
      <w:caps/>
      <w:sz w:val="32"/>
    </w:rPr>
  </w:style>
  <w:style w:type="paragraph" w:styleId="Nadpis2">
    <w:name w:val="heading 2"/>
    <w:basedOn w:val="Normln"/>
    <w:next w:val="Nadpis3"/>
    <w:qFormat/>
    <w:rsid w:val="00BC27CB"/>
    <w:pPr>
      <w:keepNext/>
      <w:spacing w:before="240"/>
      <w:ind w:firstLine="737"/>
      <w:outlineLvl w:val="1"/>
    </w:pPr>
    <w:rPr>
      <w:b/>
      <w:caps/>
      <w:sz w:val="28"/>
    </w:rPr>
  </w:style>
  <w:style w:type="paragraph" w:styleId="Nadpis3">
    <w:name w:val="heading 3"/>
    <w:basedOn w:val="Normln"/>
    <w:next w:val="Normlnodsazen"/>
    <w:qFormat/>
    <w:rsid w:val="00BC27CB"/>
    <w:pPr>
      <w:keepNext/>
      <w:spacing w:before="360"/>
      <w:ind w:firstLine="737"/>
      <w:outlineLvl w:val="2"/>
    </w:pPr>
    <w:rPr>
      <w:b/>
      <w:sz w:val="26"/>
    </w:rPr>
  </w:style>
  <w:style w:type="paragraph" w:styleId="Nadpis4">
    <w:name w:val="heading 4"/>
    <w:basedOn w:val="Normln"/>
    <w:next w:val="Normlnodsazen"/>
    <w:qFormat/>
    <w:rsid w:val="00BC27CB"/>
    <w:pPr>
      <w:keepNext/>
      <w:spacing w:before="180"/>
      <w:ind w:left="737"/>
      <w:outlineLvl w:val="3"/>
    </w:pPr>
    <w:rPr>
      <w:b/>
    </w:rPr>
  </w:style>
  <w:style w:type="paragraph" w:styleId="Nadpis5">
    <w:name w:val="heading 5"/>
    <w:basedOn w:val="Normln"/>
    <w:next w:val="Normlnodsazen"/>
    <w:qFormat/>
    <w:rsid w:val="00BC27CB"/>
    <w:pPr>
      <w:ind w:left="708"/>
      <w:outlineLvl w:val="4"/>
    </w:pPr>
    <w:rPr>
      <w:b/>
      <w:sz w:val="20"/>
    </w:rPr>
  </w:style>
  <w:style w:type="paragraph" w:styleId="Nadpis6">
    <w:name w:val="heading 6"/>
    <w:basedOn w:val="Normln"/>
    <w:next w:val="Normlnodsazen"/>
    <w:qFormat/>
    <w:rsid w:val="00BC27CB"/>
    <w:pPr>
      <w:ind w:left="708"/>
      <w:outlineLvl w:val="5"/>
    </w:pPr>
    <w:rPr>
      <w:sz w:val="20"/>
      <w:u w:val="single"/>
    </w:rPr>
  </w:style>
  <w:style w:type="paragraph" w:styleId="Nadpis7">
    <w:name w:val="heading 7"/>
    <w:basedOn w:val="Normln"/>
    <w:next w:val="Normlnodsazen"/>
    <w:qFormat/>
    <w:rsid w:val="00BC27CB"/>
    <w:pPr>
      <w:ind w:left="708"/>
      <w:outlineLvl w:val="6"/>
    </w:pPr>
    <w:rPr>
      <w:i w:val="0"/>
      <w:sz w:val="20"/>
    </w:rPr>
  </w:style>
  <w:style w:type="paragraph" w:styleId="Nadpis8">
    <w:name w:val="heading 8"/>
    <w:basedOn w:val="Normln"/>
    <w:next w:val="Normlnodsazen"/>
    <w:qFormat/>
    <w:rsid w:val="00BC27CB"/>
    <w:pPr>
      <w:ind w:left="708"/>
      <w:outlineLvl w:val="7"/>
    </w:pPr>
    <w:rPr>
      <w:i w:val="0"/>
      <w:sz w:val="20"/>
    </w:rPr>
  </w:style>
  <w:style w:type="paragraph" w:styleId="Nadpis9">
    <w:name w:val="heading 9"/>
    <w:basedOn w:val="Normln"/>
    <w:next w:val="Normlnodsazen"/>
    <w:qFormat/>
    <w:rsid w:val="00BC27CB"/>
    <w:pPr>
      <w:ind w:left="708"/>
      <w:outlineLvl w:val="8"/>
    </w:pPr>
    <w:rPr>
      <w:i w:val="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odsazen">
    <w:name w:val="Normal Indent"/>
    <w:basedOn w:val="Normln"/>
    <w:rsid w:val="00BC27CB"/>
    <w:pPr>
      <w:spacing w:before="60"/>
      <w:ind w:firstLine="737"/>
    </w:pPr>
  </w:style>
  <w:style w:type="character" w:styleId="slostrnky">
    <w:name w:val="page number"/>
    <w:basedOn w:val="Standardnpsmoodstavce"/>
    <w:semiHidden/>
    <w:rsid w:val="00BC27CB"/>
  </w:style>
  <w:style w:type="paragraph" w:styleId="Zpat">
    <w:name w:val="footer"/>
    <w:basedOn w:val="Normlnodsazen"/>
    <w:semiHidden/>
    <w:rsid w:val="00BC27CB"/>
    <w:pPr>
      <w:spacing w:before="0"/>
      <w:ind w:firstLine="0"/>
      <w:jc w:val="center"/>
    </w:pPr>
    <w:rPr>
      <w:sz w:val="20"/>
    </w:rPr>
  </w:style>
  <w:style w:type="paragraph" w:styleId="Zhlav">
    <w:name w:val="header"/>
    <w:basedOn w:val="Normln"/>
    <w:semiHidden/>
    <w:rsid w:val="00BC27CB"/>
    <w:pPr>
      <w:tabs>
        <w:tab w:val="center" w:pos="4252"/>
        <w:tab w:val="right" w:pos="8504"/>
      </w:tabs>
      <w:jc w:val="center"/>
    </w:pPr>
    <w:rPr>
      <w:sz w:val="20"/>
    </w:rPr>
  </w:style>
  <w:style w:type="character" w:styleId="Znakapoznpodarou">
    <w:name w:val="footnote reference"/>
    <w:basedOn w:val="Standardnpsmoodstavce"/>
    <w:semiHidden/>
    <w:rsid w:val="00BC27CB"/>
    <w:rPr>
      <w:position w:val="6"/>
      <w:sz w:val="16"/>
    </w:rPr>
  </w:style>
  <w:style w:type="paragraph" w:styleId="Textpoznpodarou">
    <w:name w:val="footnote text"/>
    <w:basedOn w:val="Normln"/>
    <w:semiHidden/>
    <w:rsid w:val="00BC27CB"/>
    <w:rPr>
      <w:sz w:val="20"/>
    </w:rPr>
  </w:style>
  <w:style w:type="paragraph" w:customStyle="1" w:styleId="titulnstrana00">
    <w:name w:val="titulní strana 00"/>
    <w:basedOn w:val="titulnstrana0"/>
    <w:rsid w:val="00BC27CB"/>
    <w:pPr>
      <w:spacing w:before="0"/>
      <w:ind w:right="567"/>
    </w:pPr>
    <w:rPr>
      <w:sz w:val="24"/>
    </w:rPr>
  </w:style>
  <w:style w:type="paragraph" w:customStyle="1" w:styleId="titulnstrana0">
    <w:name w:val="titulní strana 0"/>
    <w:basedOn w:val="Normln"/>
    <w:next w:val="titulnstrana00"/>
    <w:rsid w:val="00BC27CB"/>
    <w:pPr>
      <w:spacing w:before="120"/>
      <w:ind w:right="284"/>
      <w:jc w:val="right"/>
    </w:pPr>
    <w:rPr>
      <w:sz w:val="26"/>
    </w:rPr>
  </w:style>
  <w:style w:type="paragraph" w:customStyle="1" w:styleId="titulnstrana1">
    <w:name w:val="titulní strana 1"/>
    <w:basedOn w:val="Normln"/>
    <w:next w:val="titulnstrana2"/>
    <w:rsid w:val="00BC27CB"/>
    <w:pPr>
      <w:keepNext/>
      <w:keepLines/>
      <w:spacing w:before="2640"/>
      <w:jc w:val="center"/>
    </w:pPr>
    <w:rPr>
      <w:caps/>
      <w:sz w:val="48"/>
    </w:rPr>
  </w:style>
  <w:style w:type="paragraph" w:customStyle="1" w:styleId="titulnstrana2">
    <w:name w:val="titulní strana 2"/>
    <w:basedOn w:val="titulnstrana1"/>
    <w:next w:val="titulnstrana3"/>
    <w:rsid w:val="00BC27CB"/>
    <w:pPr>
      <w:spacing w:before="240"/>
    </w:pPr>
    <w:rPr>
      <w:b/>
      <w:sz w:val="34"/>
    </w:rPr>
  </w:style>
  <w:style w:type="paragraph" w:customStyle="1" w:styleId="titulnstrana3">
    <w:name w:val="titulní strana 3"/>
    <w:basedOn w:val="titulnstrana2"/>
    <w:next w:val="Normln"/>
    <w:rsid w:val="00BC27CB"/>
    <w:pPr>
      <w:spacing w:before="120"/>
    </w:pPr>
    <w:rPr>
      <w:b w:val="0"/>
      <w:caps w:val="0"/>
      <w:sz w:val="30"/>
    </w:rPr>
  </w:style>
  <w:style w:type="paragraph" w:styleId="Seznam2">
    <w:name w:val="List 2"/>
    <w:basedOn w:val="Normln"/>
    <w:semiHidden/>
    <w:rsid w:val="00BC27CB"/>
    <w:pPr>
      <w:ind w:left="566" w:hanging="283"/>
    </w:pPr>
  </w:style>
  <w:style w:type="paragraph" w:styleId="Seznamsodrkami2">
    <w:name w:val="List Bullet 2"/>
    <w:basedOn w:val="Normln"/>
    <w:semiHidden/>
    <w:rsid w:val="00BC27CB"/>
    <w:pPr>
      <w:ind w:left="566" w:hanging="283"/>
    </w:pPr>
  </w:style>
  <w:style w:type="paragraph" w:styleId="Zkladntextodsazen">
    <w:name w:val="Body Text Indent"/>
    <w:basedOn w:val="Normln"/>
    <w:semiHidden/>
    <w:rsid w:val="00BC27CB"/>
    <w:pPr>
      <w:spacing w:after="120"/>
      <w:ind w:left="283"/>
    </w:pPr>
  </w:style>
  <w:style w:type="paragraph" w:styleId="Zkladntext3">
    <w:name w:val="Body Text 3"/>
    <w:basedOn w:val="Zkladntextodsazen"/>
    <w:semiHidden/>
    <w:rsid w:val="00BC27CB"/>
  </w:style>
  <w:style w:type="paragraph" w:styleId="Normlnweb">
    <w:name w:val="Normal (Web)"/>
    <w:basedOn w:val="Normln"/>
    <w:semiHidden/>
    <w:rsid w:val="00BC27CB"/>
    <w:pPr>
      <w:overflowPunct/>
      <w:autoSpaceDE/>
      <w:autoSpaceDN/>
      <w:adjustRightInd/>
      <w:jc w:val="left"/>
      <w:textAlignment w:val="auto"/>
    </w:pPr>
    <w:rPr>
      <w:rFonts w:ascii="Times New Roman" w:hAnsi="Times New Roman"/>
      <w:i w:val="0"/>
      <w:color w:val="FFFFFF"/>
      <w:szCs w:val="24"/>
    </w:rPr>
  </w:style>
  <w:style w:type="paragraph" w:customStyle="1" w:styleId="sb0">
    <w:name w:val="sb0"/>
    <w:basedOn w:val="Normln"/>
    <w:rsid w:val="00BC27CB"/>
    <w:pPr>
      <w:overflowPunct/>
      <w:autoSpaceDE/>
      <w:autoSpaceDN/>
      <w:adjustRightInd/>
      <w:spacing w:before="100" w:beforeAutospacing="1" w:after="100" w:afterAutospacing="1"/>
      <w:jc w:val="left"/>
      <w:textAlignment w:val="auto"/>
    </w:pPr>
    <w:rPr>
      <w:rFonts w:ascii="Times New Roman" w:hAnsi="Times New Roman"/>
      <w:i w:val="0"/>
      <w:color w:val="000000"/>
      <w:sz w:val="36"/>
      <w:szCs w:val="36"/>
    </w:rPr>
  </w:style>
  <w:style w:type="paragraph" w:styleId="Zkladntextodsazen2">
    <w:name w:val="Body Text Indent 2"/>
    <w:basedOn w:val="Normln"/>
    <w:semiHidden/>
    <w:rsid w:val="00BC27CB"/>
    <w:pPr>
      <w:ind w:firstLine="709"/>
    </w:pPr>
  </w:style>
  <w:style w:type="paragraph" w:customStyle="1" w:styleId="Zkladntext31">
    <w:name w:val="Základní text 31"/>
    <w:basedOn w:val="Normln"/>
    <w:rsid w:val="00BC27CB"/>
    <w:pPr>
      <w:spacing w:after="120"/>
      <w:ind w:left="283"/>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7</Pages>
  <Words>1501</Words>
  <Characters>9422</Characters>
  <Application>Microsoft Office Word</Application>
  <DocSecurity>0</DocSecurity>
  <Lines>78</Lines>
  <Paragraphs>21</Paragraphs>
  <ScaleCrop>false</ScaleCrop>
  <HeadingPairs>
    <vt:vector size="2" baseType="variant">
      <vt:variant>
        <vt:lpstr>Název</vt:lpstr>
      </vt:variant>
      <vt:variant>
        <vt:i4>1</vt:i4>
      </vt:variant>
    </vt:vector>
  </HeadingPairs>
  <TitlesOfParts>
    <vt:vector size="1" baseType="lpstr">
      <vt:lpstr> </vt:lpstr>
    </vt:vector>
  </TitlesOfParts>
  <Company/>
  <LinksUpToDate>false</LinksUpToDate>
  <CharactersWithSpaces>10902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průvodní zpráva</dc:subject>
  <dc:creator>neznámý</dc:creator>
  <cp:keywords>průvodní zpráva</cp:keywords>
  <dc:description/>
  <cp:lastModifiedBy>IMK</cp:lastModifiedBy>
  <cp:revision>4</cp:revision>
  <cp:lastPrinted>2008-05-30T14:27:00Z</cp:lastPrinted>
  <dcterms:created xsi:type="dcterms:W3CDTF">2012-07-17T13:47:00Z</dcterms:created>
  <dcterms:modified xsi:type="dcterms:W3CDTF">2012-07-17T14:55:00Z</dcterms:modified>
</cp:coreProperties>
</file>